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US"/>
        </w:rPr>
        <w:id w:val="-1826115408"/>
        <w:docPartObj>
          <w:docPartGallery w:val="Cover Pages"/>
          <w:docPartUnique/>
        </w:docPartObj>
      </w:sdtPr>
      <w:sdtEndPr>
        <w:rPr>
          <w:rFonts w:eastAsia="Arial"/>
          <w:lang w:val="en-IE"/>
        </w:rPr>
      </w:sdtEndPr>
      <w:sdtContent>
        <w:sdt>
          <w:sdtPr>
            <w:rPr>
              <w:rFonts w:asciiTheme="minorHAnsi" w:eastAsiaTheme="minorHAnsi" w:hAnsiTheme="minorHAnsi" w:cstheme="minorBidi"/>
              <w:color w:val="auto"/>
              <w:sz w:val="22"/>
              <w:szCs w:val="22"/>
              <w:lang w:val="en-US"/>
            </w:rPr>
            <w:id w:val="-494255652"/>
            <w:docPartObj>
              <w:docPartGallery w:val="Cover Pages"/>
              <w:docPartUnique/>
            </w:docPartObj>
          </w:sdtPr>
          <w:sdtEndPr>
            <w:rPr>
              <w:rFonts w:eastAsia="Arial"/>
              <w:lang w:val="en-IE"/>
            </w:rPr>
          </w:sdtEndPr>
          <w:sdtContent>
            <w:p w14:paraId="24B87F8A" w14:textId="77777777" w:rsidR="00565BB9" w:rsidRPr="00565BB9" w:rsidRDefault="00565BB9" w:rsidP="003E4FC4">
              <w:pPr>
                <w:pStyle w:val="RegistrationNumber"/>
              </w:pPr>
            </w:p>
            <w:p w14:paraId="550187AE" w14:textId="77777777" w:rsidR="00565BB9" w:rsidRPr="00565BB9" w:rsidRDefault="00565BB9" w:rsidP="00565BB9">
              <w:pPr>
                <w:spacing w:after="0"/>
                <w:rPr>
                  <w:rFonts w:ascii="Arial" w:eastAsia="Arial" w:hAnsi="Arial" w:cs="Times New Roman"/>
                  <w:lang w:val="en-IE"/>
                </w:rPr>
              </w:pPr>
            </w:p>
            <w:p w14:paraId="36BF010B" w14:textId="77777777" w:rsidR="00565BB9" w:rsidRPr="00565BB9" w:rsidRDefault="00565BB9" w:rsidP="00565BB9">
              <w:pPr>
                <w:spacing w:after="0"/>
                <w:rPr>
                  <w:rFonts w:ascii="Arial" w:eastAsia="Arial" w:hAnsi="Arial" w:cs="Times New Roman"/>
                  <w:lang w:val="en-IE"/>
                </w:rPr>
              </w:pPr>
            </w:p>
            <w:p w14:paraId="5897CCE0" w14:textId="77777777" w:rsidR="00565BB9" w:rsidRPr="00565BB9" w:rsidRDefault="00565BB9" w:rsidP="00565BB9">
              <w:pPr>
                <w:spacing w:after="0"/>
                <w:rPr>
                  <w:rFonts w:ascii="Arial" w:eastAsia="Arial" w:hAnsi="Arial" w:cs="Times New Roman"/>
                  <w:lang w:val="en-IE"/>
                </w:rPr>
              </w:pPr>
            </w:p>
            <w:p w14:paraId="529B8AF6" w14:textId="77777777" w:rsidR="00565BB9" w:rsidRPr="00565BB9" w:rsidRDefault="00565BB9" w:rsidP="00565BB9">
              <w:pPr>
                <w:spacing w:after="0"/>
                <w:rPr>
                  <w:rFonts w:ascii="Arial" w:eastAsia="Arial" w:hAnsi="Arial" w:cs="Times New Roman"/>
                  <w:lang w:val="en-IE"/>
                </w:rPr>
              </w:pPr>
            </w:p>
            <w:p w14:paraId="342ED430" w14:textId="77777777" w:rsidR="00565BB9" w:rsidRPr="00565BB9" w:rsidRDefault="00565BB9" w:rsidP="00565BB9">
              <w:pPr>
                <w:spacing w:after="0"/>
                <w:rPr>
                  <w:rFonts w:ascii="Arial" w:eastAsia="Arial" w:hAnsi="Arial" w:cs="Times New Roman"/>
                  <w:lang w:val="en-IE"/>
                </w:rPr>
              </w:pPr>
            </w:p>
            <w:p w14:paraId="038F0098" w14:textId="77777777" w:rsidR="00565BB9" w:rsidRPr="00565BB9" w:rsidRDefault="00565BB9" w:rsidP="00565BB9">
              <w:pPr>
                <w:spacing w:after="0"/>
                <w:rPr>
                  <w:rFonts w:ascii="Arial" w:eastAsia="Arial" w:hAnsi="Arial" w:cs="Times New Roman"/>
                  <w:b/>
                  <w:color w:val="18276E"/>
                  <w:sz w:val="52"/>
                  <w:szCs w:val="52"/>
                  <w:lang w:val="en-IE"/>
                </w:rPr>
              </w:pPr>
            </w:p>
            <w:p w14:paraId="201681D1" w14:textId="77777777" w:rsidR="00565BB9" w:rsidRPr="00565BB9" w:rsidRDefault="00565BB9" w:rsidP="00565BB9">
              <w:pPr>
                <w:spacing w:after="0"/>
                <w:rPr>
                  <w:rFonts w:ascii="Arial" w:eastAsia="Arial" w:hAnsi="Arial" w:cs="Times New Roman"/>
                  <w:b/>
                  <w:color w:val="18276E"/>
                  <w:sz w:val="52"/>
                  <w:szCs w:val="52"/>
                  <w:lang w:val="en-IE"/>
                </w:rPr>
              </w:pPr>
            </w:p>
            <w:p w14:paraId="1A7EE40D" w14:textId="77777777" w:rsidR="00565BB9" w:rsidRPr="00565BB9" w:rsidRDefault="00565BB9" w:rsidP="00565BB9">
              <w:pPr>
                <w:spacing w:after="0"/>
                <w:rPr>
                  <w:rFonts w:ascii="Arial" w:eastAsia="Arial" w:hAnsi="Arial" w:cs="Times New Roman"/>
                  <w:b/>
                  <w:color w:val="18276E"/>
                  <w:sz w:val="52"/>
                  <w:szCs w:val="52"/>
                  <w:lang w:val="en-IE"/>
                </w:rPr>
              </w:pPr>
            </w:p>
            <w:p w14:paraId="10FF983F" w14:textId="77777777" w:rsidR="00CF3040" w:rsidRPr="00565BB9" w:rsidRDefault="00CF3040" w:rsidP="00CF3040">
              <w:pPr>
                <w:spacing w:after="0"/>
                <w:ind w:left="360"/>
                <w:jc w:val="center"/>
                <w:rPr>
                  <w:rFonts w:ascii="Arial" w:eastAsia="Arial" w:hAnsi="Arial" w:cs="Times New Roman"/>
                  <w:b/>
                  <w:color w:val="18276E"/>
                  <w:sz w:val="44"/>
                  <w:szCs w:val="44"/>
                  <w:lang w:val="en-IE"/>
                </w:rPr>
              </w:pPr>
              <w:r w:rsidRPr="00565BB9">
                <w:rPr>
                  <w:rFonts w:ascii="Arial" w:eastAsia="Arial" w:hAnsi="Arial" w:cs="Times New Roman"/>
                  <w:b/>
                  <w:color w:val="18276E"/>
                  <w:sz w:val="44"/>
                  <w:szCs w:val="44"/>
                  <w:lang w:val="en-IE"/>
                </w:rPr>
                <w:t>Draft</w:t>
              </w:r>
            </w:p>
            <w:sdt>
              <w:sdtPr>
                <w:id w:val="-425422018"/>
                <w:docPartObj>
                  <w:docPartGallery w:val="Cover Pages"/>
                  <w:docPartUnique/>
                </w:docPartObj>
              </w:sdtPr>
              <w:sdtEndPr>
                <w:rPr>
                  <w:rFonts w:eastAsia="Arial"/>
                  <w:lang w:val="en-IE"/>
                </w:rPr>
              </w:sdtEndPr>
              <w:sdtContent>
                <w:p w14:paraId="38807457" w14:textId="77777777" w:rsidR="00565BB9" w:rsidRPr="00565BB9" w:rsidRDefault="00565BB9" w:rsidP="00565BB9">
                  <w:pPr>
                    <w:spacing w:after="0"/>
                    <w:jc w:val="center"/>
                    <w:rPr>
                      <w:rFonts w:ascii="Arial" w:eastAsia="Arial" w:hAnsi="Arial" w:cs="Times New Roman"/>
                      <w:b/>
                      <w:color w:val="18276E"/>
                      <w:sz w:val="44"/>
                      <w:szCs w:val="44"/>
                      <w:lang w:val="en-IE"/>
                    </w:rPr>
                  </w:pPr>
                  <w:r w:rsidRPr="00565BB9">
                    <w:rPr>
                      <w:rFonts w:ascii="Arial" w:eastAsia="Arial" w:hAnsi="Arial" w:cs="Times New Roman"/>
                      <w:b/>
                      <w:color w:val="18276E"/>
                      <w:sz w:val="44"/>
                      <w:szCs w:val="44"/>
                      <w:lang w:val="en-IE"/>
                    </w:rPr>
                    <w:t xml:space="preserve">BEREC Guidelines </w:t>
                  </w:r>
                </w:p>
                <w:p w14:paraId="32FC0413" w14:textId="77777777" w:rsidR="00AC4B24" w:rsidRDefault="00565BB9" w:rsidP="00565BB9">
                  <w:pPr>
                    <w:spacing w:after="0"/>
                    <w:jc w:val="center"/>
                    <w:rPr>
                      <w:rFonts w:ascii="Arial" w:eastAsia="Arial" w:hAnsi="Arial" w:cs="Times New Roman"/>
                      <w:b/>
                      <w:color w:val="18276E"/>
                      <w:sz w:val="44"/>
                      <w:szCs w:val="44"/>
                      <w:lang w:val="en-IE"/>
                    </w:rPr>
                  </w:pPr>
                  <w:r w:rsidRPr="00565BB9">
                    <w:rPr>
                      <w:rFonts w:ascii="Arial" w:eastAsia="Arial" w:hAnsi="Arial" w:cs="Times New Roman"/>
                      <w:b/>
                      <w:color w:val="18276E"/>
                      <w:sz w:val="44"/>
                      <w:szCs w:val="44"/>
                      <w:lang w:val="en-IE"/>
                    </w:rPr>
                    <w:t xml:space="preserve">to foster the consistent application of the criteria for assessing co-investments </w:t>
                  </w:r>
                  <w:r w:rsidR="00547A0D">
                    <w:rPr>
                      <w:rFonts w:ascii="Arial" w:eastAsia="Arial" w:hAnsi="Arial" w:cs="Times New Roman"/>
                      <w:b/>
                      <w:color w:val="18276E"/>
                      <w:sz w:val="44"/>
                      <w:szCs w:val="44"/>
                      <w:lang w:val="en-IE"/>
                    </w:rPr>
                    <w:t>i</w:t>
                  </w:r>
                  <w:r w:rsidRPr="00565BB9">
                    <w:rPr>
                      <w:rFonts w:ascii="Arial" w:eastAsia="Arial" w:hAnsi="Arial" w:cs="Times New Roman"/>
                      <w:b/>
                      <w:color w:val="18276E"/>
                      <w:sz w:val="44"/>
                      <w:szCs w:val="44"/>
                      <w:lang w:val="en-IE"/>
                    </w:rPr>
                    <w:t xml:space="preserve">n </w:t>
                  </w:r>
                  <w:r w:rsidR="001813D1">
                    <w:rPr>
                      <w:rFonts w:ascii="Arial" w:eastAsia="Arial" w:hAnsi="Arial" w:cs="Times New Roman"/>
                      <w:b/>
                      <w:color w:val="18276E"/>
                      <w:sz w:val="44"/>
                      <w:szCs w:val="44"/>
                      <w:lang w:val="en-IE"/>
                    </w:rPr>
                    <w:t xml:space="preserve">new </w:t>
                  </w:r>
                  <w:r w:rsidRPr="00565BB9">
                    <w:rPr>
                      <w:rFonts w:ascii="Arial" w:eastAsia="Arial" w:hAnsi="Arial" w:cs="Times New Roman"/>
                      <w:b/>
                      <w:color w:val="18276E"/>
                      <w:sz w:val="44"/>
                      <w:szCs w:val="44"/>
                      <w:lang w:val="en-IE"/>
                    </w:rPr>
                    <w:t>very high capacity network elements</w:t>
                  </w:r>
                  <w:r w:rsidR="00AC4B24">
                    <w:rPr>
                      <w:rFonts w:ascii="Arial" w:eastAsia="Arial" w:hAnsi="Arial" w:cs="Times New Roman"/>
                      <w:b/>
                      <w:color w:val="18276E"/>
                      <w:sz w:val="44"/>
                      <w:szCs w:val="44"/>
                      <w:lang w:val="en-IE"/>
                    </w:rPr>
                    <w:t xml:space="preserve"> </w:t>
                  </w:r>
                </w:p>
                <w:p w14:paraId="093517E9" w14:textId="77777777" w:rsidR="00565BB9" w:rsidRPr="00AC4B24" w:rsidRDefault="00AC4B24" w:rsidP="00565BB9">
                  <w:pPr>
                    <w:spacing w:after="0"/>
                    <w:jc w:val="center"/>
                    <w:rPr>
                      <w:rFonts w:ascii="Arial" w:eastAsia="Arial" w:hAnsi="Arial" w:cs="Times New Roman"/>
                      <w:b/>
                      <w:color w:val="18276E"/>
                      <w:sz w:val="44"/>
                      <w:szCs w:val="44"/>
                      <w:lang w:val="en-GB"/>
                    </w:rPr>
                  </w:pPr>
                  <w:r w:rsidRPr="00AC4B24">
                    <w:rPr>
                      <w:rFonts w:ascii="Arial" w:eastAsia="Arial" w:hAnsi="Arial" w:cs="Times New Roman"/>
                      <w:b/>
                      <w:color w:val="18276E"/>
                      <w:sz w:val="44"/>
                      <w:szCs w:val="44"/>
                      <w:lang w:val="en-IE"/>
                    </w:rPr>
                    <w:t>(Article 76 EECC)</w:t>
                  </w:r>
                </w:p>
                <w:p w14:paraId="54E2F24D" w14:textId="77777777" w:rsidR="00565BB9" w:rsidRPr="00565BB9" w:rsidRDefault="00565BB9" w:rsidP="00565BB9">
                  <w:pPr>
                    <w:spacing w:after="0"/>
                    <w:jc w:val="center"/>
                    <w:rPr>
                      <w:rFonts w:ascii="Arial" w:eastAsia="Arial" w:hAnsi="Arial" w:cs="Times New Roman"/>
                      <w:b/>
                      <w:color w:val="18276E"/>
                      <w:sz w:val="44"/>
                      <w:szCs w:val="44"/>
                      <w:lang w:val="en-IE"/>
                    </w:rPr>
                  </w:pPr>
                </w:p>
                <w:p w14:paraId="217657B4" w14:textId="77777777" w:rsidR="00565BB9" w:rsidRPr="00565BB9" w:rsidRDefault="00565BB9" w:rsidP="00565BB9">
                  <w:pPr>
                    <w:spacing w:after="0"/>
                    <w:jc w:val="center"/>
                    <w:rPr>
                      <w:rFonts w:ascii="Arial" w:eastAsia="Arial" w:hAnsi="Arial" w:cs="Times New Roman"/>
                      <w:b/>
                      <w:color w:val="18276E"/>
                      <w:sz w:val="44"/>
                      <w:szCs w:val="44"/>
                      <w:lang w:val="en-IE"/>
                    </w:rPr>
                  </w:pPr>
                </w:p>
                <w:p w14:paraId="540F652A" w14:textId="77777777" w:rsidR="00565BB9" w:rsidRPr="00565BB9" w:rsidRDefault="00565BB9" w:rsidP="00565BB9">
                  <w:pPr>
                    <w:tabs>
                      <w:tab w:val="left" w:pos="7185"/>
                    </w:tabs>
                    <w:spacing w:after="0"/>
                    <w:rPr>
                      <w:rFonts w:ascii="Arial" w:eastAsia="Arial" w:hAnsi="Arial" w:cs="Times New Roman"/>
                      <w:b/>
                      <w:color w:val="18276E"/>
                      <w:sz w:val="44"/>
                      <w:szCs w:val="44"/>
                      <w:lang w:val="en-IE"/>
                    </w:rPr>
                  </w:pPr>
                  <w:r w:rsidRPr="00565BB9">
                    <w:rPr>
                      <w:rFonts w:ascii="Arial" w:eastAsia="Arial" w:hAnsi="Arial" w:cs="Times New Roman"/>
                      <w:b/>
                      <w:color w:val="18276E"/>
                      <w:sz w:val="44"/>
                      <w:szCs w:val="44"/>
                      <w:lang w:val="en-IE"/>
                    </w:rPr>
                    <w:tab/>
                  </w:r>
                </w:p>
                <w:p w14:paraId="6DA8CEC0" w14:textId="77777777" w:rsidR="00565BB9" w:rsidRPr="00565BB9" w:rsidRDefault="00565BB9" w:rsidP="00565BB9">
                  <w:pPr>
                    <w:spacing w:after="0"/>
                    <w:jc w:val="center"/>
                    <w:rPr>
                      <w:rFonts w:ascii="Arial" w:eastAsia="Arial" w:hAnsi="Arial" w:cs="Times New Roman"/>
                      <w:lang w:val="en-IE"/>
                    </w:rPr>
                  </w:pPr>
                </w:p>
                <w:p w14:paraId="00109B6F" w14:textId="77777777" w:rsidR="00565BB9" w:rsidRPr="00565BB9" w:rsidRDefault="00565BB9" w:rsidP="00565BB9">
                  <w:pPr>
                    <w:spacing w:after="0"/>
                    <w:rPr>
                      <w:rFonts w:ascii="Arial" w:eastAsia="Arial" w:hAnsi="Arial" w:cs="Times New Roman"/>
                      <w:lang w:val="en-IE"/>
                    </w:rPr>
                  </w:pPr>
                </w:p>
                <w:p w14:paraId="18279238" w14:textId="77777777" w:rsidR="00565BB9" w:rsidRPr="00565BB9" w:rsidRDefault="00565BB9" w:rsidP="00565BB9">
                  <w:pPr>
                    <w:rPr>
                      <w:rFonts w:ascii="Arial" w:eastAsia="Arial" w:hAnsi="Arial" w:cs="Times New Roman"/>
                      <w:lang w:val="en-IE"/>
                    </w:rPr>
                  </w:pPr>
                </w:p>
                <w:p w14:paraId="41213E38" w14:textId="77777777" w:rsidR="00565BB9" w:rsidRPr="00565BB9" w:rsidRDefault="00565BB9" w:rsidP="00565BB9">
                  <w:pPr>
                    <w:spacing w:after="0"/>
                    <w:rPr>
                      <w:rFonts w:ascii="Arial" w:eastAsia="Arial" w:hAnsi="Arial" w:cs="Times New Roman"/>
                      <w:lang w:val="en-IE"/>
                    </w:rPr>
                  </w:pPr>
                </w:p>
                <w:p w14:paraId="335CC39A" w14:textId="77777777" w:rsidR="00565BB9" w:rsidRPr="00565BB9" w:rsidRDefault="00565BB9" w:rsidP="00565BB9">
                  <w:pPr>
                    <w:spacing w:after="0"/>
                    <w:rPr>
                      <w:rFonts w:ascii="Arial" w:eastAsia="Arial" w:hAnsi="Arial" w:cs="Times New Roman"/>
                      <w:lang w:val="en-IE"/>
                    </w:rPr>
                  </w:pPr>
                </w:p>
                <w:p w14:paraId="08C8C9BC" w14:textId="77777777" w:rsidR="00565BB9" w:rsidRPr="00565BB9" w:rsidRDefault="00565BB9" w:rsidP="00565BB9">
                  <w:pPr>
                    <w:spacing w:after="0"/>
                    <w:rPr>
                      <w:rFonts w:ascii="Arial" w:eastAsia="Arial" w:hAnsi="Arial" w:cs="Times New Roman"/>
                      <w:lang w:val="en-IE"/>
                    </w:rPr>
                  </w:pPr>
                </w:p>
                <w:p w14:paraId="19EFDC29" w14:textId="77777777" w:rsidR="00565BB9" w:rsidRPr="00565BB9" w:rsidRDefault="00565BB9" w:rsidP="00565BB9">
                  <w:pPr>
                    <w:spacing w:after="0"/>
                    <w:rPr>
                      <w:rFonts w:ascii="Arial" w:eastAsia="Arial" w:hAnsi="Arial" w:cs="Times New Roman"/>
                      <w:lang w:val="en-IE"/>
                    </w:rPr>
                  </w:pPr>
                </w:p>
                <w:p w14:paraId="21DDC07A" w14:textId="77777777" w:rsidR="00565BB9" w:rsidRPr="00565BB9" w:rsidRDefault="00565BB9" w:rsidP="00565BB9">
                  <w:pPr>
                    <w:spacing w:after="0"/>
                    <w:rPr>
                      <w:rFonts w:ascii="Arial" w:eastAsia="Arial" w:hAnsi="Arial" w:cs="Times New Roman"/>
                      <w:lang w:val="en-IE"/>
                    </w:rPr>
                  </w:pPr>
                </w:p>
                <w:p w14:paraId="532DC8E8" w14:textId="77777777" w:rsidR="00FF487B" w:rsidRDefault="00472AA3">
                  <w:pPr>
                    <w:rPr>
                      <w:rFonts w:eastAsia="Arial"/>
                      <w:lang w:val="en-IE"/>
                    </w:rPr>
                  </w:pPr>
                </w:p>
              </w:sdtContent>
            </w:sdt>
          </w:sdtContent>
        </w:sdt>
      </w:sdtContent>
    </w:sdt>
    <w:p w14:paraId="1E815C27" w14:textId="069917BB" w:rsidR="00472AA3" w:rsidRDefault="00472AA3" w:rsidP="002510B0">
      <w:pPr>
        <w:rPr>
          <w:rFonts w:ascii="Arial" w:eastAsia="Arial" w:hAnsi="Arial" w:cs="Arial"/>
          <w:lang w:val="en-IE"/>
        </w:rPr>
      </w:pPr>
    </w:p>
    <w:p w14:paraId="3A300E0B" w14:textId="77777777" w:rsidR="00565BB9" w:rsidRPr="00700BA2" w:rsidRDefault="00F37971" w:rsidP="002510B0">
      <w:pPr>
        <w:rPr>
          <w:rFonts w:ascii="Arial" w:eastAsia="Arial" w:hAnsi="Arial" w:cs="Arial"/>
          <w:color w:val="18276E"/>
          <w:sz w:val="40"/>
          <w:szCs w:val="40"/>
          <w:lang w:val="en-IE"/>
        </w:rPr>
      </w:pPr>
      <w:r w:rsidRPr="00472AA3">
        <w:rPr>
          <w:rFonts w:ascii="Arial" w:eastAsia="Arial" w:hAnsi="Arial" w:cs="Arial"/>
          <w:lang w:val="en-IE"/>
        </w:rPr>
        <w:br w:type="page"/>
      </w:r>
      <w:r w:rsidR="00565BB9" w:rsidRPr="00700BA2">
        <w:rPr>
          <w:rFonts w:ascii="Arial" w:eastAsia="Arial" w:hAnsi="Arial" w:cs="Arial"/>
          <w:b/>
          <w:sz w:val="28"/>
          <w:szCs w:val="28"/>
          <w:lang w:val="en-IE"/>
        </w:rPr>
        <w:lastRenderedPageBreak/>
        <w:t xml:space="preserve">Table of Contents </w:t>
      </w:r>
    </w:p>
    <w:p w14:paraId="63B8FEE9" w14:textId="51A31D03" w:rsidR="00796EB6" w:rsidRPr="00700BA2" w:rsidRDefault="00E01E74">
      <w:pPr>
        <w:pStyle w:val="TOC1"/>
        <w:tabs>
          <w:tab w:val="left" w:pos="440"/>
          <w:tab w:val="right" w:leader="dot" w:pos="9350"/>
        </w:tabs>
        <w:rPr>
          <w:rFonts w:ascii="Arial" w:eastAsiaTheme="minorEastAsia" w:hAnsi="Arial" w:cs="Arial"/>
          <w:b w:val="0"/>
          <w:bCs w:val="0"/>
          <w:i w:val="0"/>
          <w:iCs w:val="0"/>
          <w:noProof/>
          <w:sz w:val="22"/>
          <w:szCs w:val="22"/>
          <w:lang w:val="fr-FR" w:eastAsia="fr-FR"/>
        </w:rPr>
      </w:pPr>
      <w:r w:rsidRPr="00700BA2">
        <w:rPr>
          <w:rFonts w:ascii="Arial" w:eastAsia="Arial" w:hAnsi="Arial" w:cs="Arial"/>
          <w:b w:val="0"/>
          <w:lang w:val="en-IE"/>
        </w:rPr>
        <w:fldChar w:fldCharType="begin"/>
      </w:r>
      <w:r w:rsidRPr="00700BA2">
        <w:rPr>
          <w:rFonts w:ascii="Arial" w:eastAsia="Arial" w:hAnsi="Arial" w:cs="Arial"/>
          <w:b w:val="0"/>
          <w:lang w:val="en-IE"/>
        </w:rPr>
        <w:instrText xml:space="preserve"> TOC \o "1-4" \h \z \u </w:instrText>
      </w:r>
      <w:r w:rsidRPr="00700BA2">
        <w:rPr>
          <w:rFonts w:ascii="Arial" w:eastAsia="Arial" w:hAnsi="Arial" w:cs="Arial"/>
          <w:b w:val="0"/>
          <w:lang w:val="en-IE"/>
        </w:rPr>
        <w:fldChar w:fldCharType="separate"/>
      </w:r>
      <w:hyperlink w:anchor="_Toc38464067" w:history="1">
        <w:r w:rsidR="00796EB6" w:rsidRPr="00700BA2">
          <w:rPr>
            <w:rStyle w:val="Hyperlink"/>
            <w:rFonts w:ascii="Arial" w:eastAsia="Times New Roman" w:hAnsi="Arial" w:cs="Arial"/>
            <w:i w:val="0"/>
            <w:noProof/>
            <w:lang w:val="en-IE"/>
          </w:rPr>
          <w:t>1.</w:t>
        </w:r>
        <w:r w:rsidR="00796EB6" w:rsidRPr="00700BA2">
          <w:rPr>
            <w:rFonts w:ascii="Arial" w:eastAsiaTheme="minorEastAsia" w:hAnsi="Arial" w:cs="Arial"/>
            <w:b w:val="0"/>
            <w:bCs w:val="0"/>
            <w:i w:val="0"/>
            <w:iCs w:val="0"/>
            <w:noProof/>
            <w:sz w:val="22"/>
            <w:szCs w:val="22"/>
            <w:lang w:val="fr-FR" w:eastAsia="fr-FR"/>
          </w:rPr>
          <w:tab/>
        </w:r>
        <w:r w:rsidR="00796EB6" w:rsidRPr="00700BA2">
          <w:rPr>
            <w:rStyle w:val="Hyperlink"/>
            <w:rFonts w:ascii="Arial" w:eastAsia="Times New Roman" w:hAnsi="Arial" w:cs="Arial"/>
            <w:i w:val="0"/>
            <w:noProof/>
            <w:lang w:val="en-IE"/>
          </w:rPr>
          <w:t>INTRODUCTION</w:t>
        </w:r>
        <w:r w:rsidR="00796EB6" w:rsidRPr="00700BA2">
          <w:rPr>
            <w:rFonts w:ascii="Arial" w:hAnsi="Arial" w:cs="Arial"/>
            <w:i w:val="0"/>
            <w:noProof/>
            <w:webHidden/>
          </w:rPr>
          <w:tab/>
        </w:r>
        <w:r w:rsidR="00796EB6" w:rsidRPr="00700BA2">
          <w:rPr>
            <w:rFonts w:ascii="Arial" w:hAnsi="Arial" w:cs="Arial"/>
            <w:i w:val="0"/>
            <w:noProof/>
            <w:webHidden/>
          </w:rPr>
          <w:fldChar w:fldCharType="begin"/>
        </w:r>
        <w:r w:rsidR="00796EB6" w:rsidRPr="00700BA2">
          <w:rPr>
            <w:rFonts w:ascii="Arial" w:hAnsi="Arial" w:cs="Arial"/>
            <w:i w:val="0"/>
            <w:noProof/>
            <w:webHidden/>
          </w:rPr>
          <w:instrText xml:space="preserve"> PAGEREF _Toc38464067 \h </w:instrText>
        </w:r>
        <w:r w:rsidR="00796EB6" w:rsidRPr="00700BA2">
          <w:rPr>
            <w:rFonts w:ascii="Arial" w:hAnsi="Arial" w:cs="Arial"/>
            <w:i w:val="0"/>
            <w:noProof/>
            <w:webHidden/>
          </w:rPr>
        </w:r>
        <w:r w:rsidR="00796EB6" w:rsidRPr="00700BA2">
          <w:rPr>
            <w:rFonts w:ascii="Arial" w:hAnsi="Arial" w:cs="Arial"/>
            <w:i w:val="0"/>
            <w:noProof/>
            <w:webHidden/>
          </w:rPr>
          <w:fldChar w:fldCharType="separate"/>
        </w:r>
        <w:r w:rsidR="00F645A3">
          <w:rPr>
            <w:rFonts w:ascii="Arial" w:hAnsi="Arial" w:cs="Arial"/>
            <w:i w:val="0"/>
            <w:noProof/>
            <w:webHidden/>
          </w:rPr>
          <w:t>3</w:t>
        </w:r>
        <w:r w:rsidR="00796EB6" w:rsidRPr="00700BA2">
          <w:rPr>
            <w:rFonts w:ascii="Arial" w:hAnsi="Arial" w:cs="Arial"/>
            <w:i w:val="0"/>
            <w:noProof/>
            <w:webHidden/>
          </w:rPr>
          <w:fldChar w:fldCharType="end"/>
        </w:r>
      </w:hyperlink>
    </w:p>
    <w:p w14:paraId="4B181A11" w14:textId="29C2B045" w:rsidR="00796EB6" w:rsidRPr="00700BA2" w:rsidRDefault="00472AA3">
      <w:pPr>
        <w:pStyle w:val="TOC1"/>
        <w:tabs>
          <w:tab w:val="left" w:pos="440"/>
          <w:tab w:val="right" w:leader="dot" w:pos="9350"/>
        </w:tabs>
        <w:rPr>
          <w:rFonts w:ascii="Arial" w:eastAsiaTheme="minorEastAsia" w:hAnsi="Arial" w:cs="Arial"/>
          <w:b w:val="0"/>
          <w:bCs w:val="0"/>
          <w:i w:val="0"/>
          <w:iCs w:val="0"/>
          <w:noProof/>
          <w:sz w:val="22"/>
          <w:szCs w:val="22"/>
          <w:lang w:val="fr-FR" w:eastAsia="fr-FR"/>
        </w:rPr>
      </w:pPr>
      <w:hyperlink w:anchor="_Toc38464068" w:history="1">
        <w:r w:rsidR="00796EB6" w:rsidRPr="00700BA2">
          <w:rPr>
            <w:rStyle w:val="Hyperlink"/>
            <w:rFonts w:ascii="Arial" w:eastAsia="Times New Roman" w:hAnsi="Arial" w:cs="Arial"/>
            <w:i w:val="0"/>
            <w:noProof/>
            <w:lang w:val="en-IE"/>
          </w:rPr>
          <w:t>2.</w:t>
        </w:r>
        <w:r w:rsidR="00796EB6" w:rsidRPr="00700BA2">
          <w:rPr>
            <w:rFonts w:ascii="Arial" w:eastAsiaTheme="minorEastAsia" w:hAnsi="Arial" w:cs="Arial"/>
            <w:b w:val="0"/>
            <w:bCs w:val="0"/>
            <w:i w:val="0"/>
            <w:iCs w:val="0"/>
            <w:noProof/>
            <w:sz w:val="22"/>
            <w:szCs w:val="22"/>
            <w:lang w:val="fr-FR" w:eastAsia="fr-FR"/>
          </w:rPr>
          <w:tab/>
        </w:r>
        <w:r w:rsidR="00796EB6" w:rsidRPr="00700BA2">
          <w:rPr>
            <w:rStyle w:val="Hyperlink"/>
            <w:rFonts w:ascii="Arial" w:eastAsia="Times New Roman" w:hAnsi="Arial" w:cs="Arial"/>
            <w:i w:val="0"/>
            <w:noProof/>
            <w:lang w:val="en-IE"/>
          </w:rPr>
          <w:t>GENERAL ISSUES AND TERMINOLOGY INPUT FROM STAKEHOLDERS</w:t>
        </w:r>
        <w:r w:rsidR="00796EB6" w:rsidRPr="00700BA2">
          <w:rPr>
            <w:rFonts w:ascii="Arial" w:hAnsi="Arial" w:cs="Arial"/>
            <w:i w:val="0"/>
            <w:noProof/>
            <w:webHidden/>
          </w:rPr>
          <w:tab/>
        </w:r>
        <w:r w:rsidR="00796EB6" w:rsidRPr="00700BA2">
          <w:rPr>
            <w:rFonts w:ascii="Arial" w:hAnsi="Arial" w:cs="Arial"/>
            <w:i w:val="0"/>
            <w:noProof/>
            <w:webHidden/>
          </w:rPr>
          <w:fldChar w:fldCharType="begin"/>
        </w:r>
        <w:r w:rsidR="00796EB6" w:rsidRPr="00700BA2">
          <w:rPr>
            <w:rFonts w:ascii="Arial" w:hAnsi="Arial" w:cs="Arial"/>
            <w:i w:val="0"/>
            <w:noProof/>
            <w:webHidden/>
          </w:rPr>
          <w:instrText xml:space="preserve"> PAGEREF _Toc38464068 \h </w:instrText>
        </w:r>
        <w:r w:rsidR="00796EB6" w:rsidRPr="00700BA2">
          <w:rPr>
            <w:rFonts w:ascii="Arial" w:hAnsi="Arial" w:cs="Arial"/>
            <w:i w:val="0"/>
            <w:noProof/>
            <w:webHidden/>
          </w:rPr>
        </w:r>
        <w:r w:rsidR="00796EB6" w:rsidRPr="00700BA2">
          <w:rPr>
            <w:rFonts w:ascii="Arial" w:hAnsi="Arial" w:cs="Arial"/>
            <w:i w:val="0"/>
            <w:noProof/>
            <w:webHidden/>
          </w:rPr>
          <w:fldChar w:fldCharType="separate"/>
        </w:r>
        <w:r w:rsidR="00F645A3">
          <w:rPr>
            <w:rFonts w:ascii="Arial" w:hAnsi="Arial" w:cs="Arial"/>
            <w:i w:val="0"/>
            <w:noProof/>
            <w:webHidden/>
          </w:rPr>
          <w:t>4</w:t>
        </w:r>
        <w:r w:rsidR="00796EB6" w:rsidRPr="00700BA2">
          <w:rPr>
            <w:rFonts w:ascii="Arial" w:hAnsi="Arial" w:cs="Arial"/>
            <w:i w:val="0"/>
            <w:noProof/>
            <w:webHidden/>
          </w:rPr>
          <w:fldChar w:fldCharType="end"/>
        </w:r>
      </w:hyperlink>
    </w:p>
    <w:p w14:paraId="76ACEDD1" w14:textId="367A5921" w:rsidR="00796EB6" w:rsidRPr="00700BA2" w:rsidRDefault="00472AA3">
      <w:pPr>
        <w:pStyle w:val="TOC1"/>
        <w:tabs>
          <w:tab w:val="left" w:pos="440"/>
          <w:tab w:val="right" w:leader="dot" w:pos="9350"/>
        </w:tabs>
        <w:rPr>
          <w:rFonts w:ascii="Arial" w:eastAsiaTheme="minorEastAsia" w:hAnsi="Arial" w:cs="Arial"/>
          <w:b w:val="0"/>
          <w:bCs w:val="0"/>
          <w:i w:val="0"/>
          <w:iCs w:val="0"/>
          <w:noProof/>
          <w:sz w:val="22"/>
          <w:szCs w:val="22"/>
          <w:lang w:val="fr-FR" w:eastAsia="fr-FR"/>
        </w:rPr>
      </w:pPr>
      <w:hyperlink w:anchor="_Toc38464069" w:history="1">
        <w:r w:rsidR="00796EB6" w:rsidRPr="00700BA2">
          <w:rPr>
            <w:rStyle w:val="Hyperlink"/>
            <w:rFonts w:ascii="Arial" w:eastAsia="Times New Roman" w:hAnsi="Arial" w:cs="Arial"/>
            <w:i w:val="0"/>
            <w:noProof/>
            <w:lang w:val="en-IE"/>
          </w:rPr>
          <w:t>3.</w:t>
        </w:r>
        <w:r w:rsidR="00796EB6" w:rsidRPr="00700BA2">
          <w:rPr>
            <w:rFonts w:ascii="Arial" w:eastAsiaTheme="minorEastAsia" w:hAnsi="Arial" w:cs="Arial"/>
            <w:b w:val="0"/>
            <w:bCs w:val="0"/>
            <w:i w:val="0"/>
            <w:iCs w:val="0"/>
            <w:noProof/>
            <w:sz w:val="22"/>
            <w:szCs w:val="22"/>
            <w:lang w:val="fr-FR" w:eastAsia="fr-FR"/>
          </w:rPr>
          <w:tab/>
        </w:r>
        <w:r w:rsidR="00796EB6" w:rsidRPr="00700BA2">
          <w:rPr>
            <w:rStyle w:val="Hyperlink"/>
            <w:rFonts w:ascii="Arial" w:eastAsia="Times New Roman" w:hAnsi="Arial" w:cs="Arial"/>
            <w:i w:val="0"/>
            <w:noProof/>
            <w:lang w:val="en-IE"/>
          </w:rPr>
          <w:t>GUIDELINES ON ARTICLE 76</w:t>
        </w:r>
        <w:r w:rsidR="00796EB6" w:rsidRPr="00700BA2">
          <w:rPr>
            <w:rFonts w:ascii="Arial" w:hAnsi="Arial" w:cs="Arial"/>
            <w:i w:val="0"/>
            <w:noProof/>
            <w:webHidden/>
          </w:rPr>
          <w:tab/>
        </w:r>
        <w:r w:rsidR="00796EB6" w:rsidRPr="00700BA2">
          <w:rPr>
            <w:rFonts w:ascii="Arial" w:hAnsi="Arial" w:cs="Arial"/>
            <w:i w:val="0"/>
            <w:noProof/>
            <w:webHidden/>
          </w:rPr>
          <w:fldChar w:fldCharType="begin"/>
        </w:r>
        <w:r w:rsidR="00796EB6" w:rsidRPr="00700BA2">
          <w:rPr>
            <w:rFonts w:ascii="Arial" w:hAnsi="Arial" w:cs="Arial"/>
            <w:i w:val="0"/>
            <w:noProof/>
            <w:webHidden/>
          </w:rPr>
          <w:instrText xml:space="preserve"> PAGEREF _Toc38464069 \h </w:instrText>
        </w:r>
        <w:r w:rsidR="00796EB6" w:rsidRPr="00700BA2">
          <w:rPr>
            <w:rFonts w:ascii="Arial" w:hAnsi="Arial" w:cs="Arial"/>
            <w:i w:val="0"/>
            <w:noProof/>
            <w:webHidden/>
          </w:rPr>
        </w:r>
        <w:r w:rsidR="00796EB6" w:rsidRPr="00700BA2">
          <w:rPr>
            <w:rFonts w:ascii="Arial" w:hAnsi="Arial" w:cs="Arial"/>
            <w:i w:val="0"/>
            <w:noProof/>
            <w:webHidden/>
          </w:rPr>
          <w:fldChar w:fldCharType="separate"/>
        </w:r>
        <w:r w:rsidR="00F645A3">
          <w:rPr>
            <w:rFonts w:ascii="Arial" w:hAnsi="Arial" w:cs="Arial"/>
            <w:i w:val="0"/>
            <w:noProof/>
            <w:webHidden/>
          </w:rPr>
          <w:t>4</w:t>
        </w:r>
        <w:r w:rsidR="00796EB6" w:rsidRPr="00700BA2">
          <w:rPr>
            <w:rFonts w:ascii="Arial" w:hAnsi="Arial" w:cs="Arial"/>
            <w:i w:val="0"/>
            <w:noProof/>
            <w:webHidden/>
          </w:rPr>
          <w:fldChar w:fldCharType="end"/>
        </w:r>
      </w:hyperlink>
    </w:p>
    <w:p w14:paraId="632C5D7D" w14:textId="16BAE8FB" w:rsidR="00796EB6" w:rsidRPr="00700BA2" w:rsidRDefault="00472AA3" w:rsidP="00B74DE7">
      <w:pPr>
        <w:pStyle w:val="TOC2"/>
        <w:rPr>
          <w:rFonts w:eastAsiaTheme="minorEastAsia"/>
          <w:noProof/>
          <w:lang w:val="fr-FR" w:eastAsia="fr-FR"/>
        </w:rPr>
      </w:pPr>
      <w:hyperlink w:anchor="_Toc38464070" w:history="1">
        <w:r w:rsidR="00796EB6" w:rsidRPr="00700BA2">
          <w:rPr>
            <w:rStyle w:val="Hyperlink"/>
            <w:rFonts w:ascii="Arial" w:eastAsia="Times New Roman" w:hAnsi="Arial" w:cs="Arial"/>
            <w:noProof/>
            <w:lang w:val="en-IE"/>
          </w:rPr>
          <w:t>3.1.</w:t>
        </w:r>
        <w:r w:rsidR="00796EB6" w:rsidRPr="00700BA2">
          <w:rPr>
            <w:rFonts w:eastAsiaTheme="minorEastAsia"/>
            <w:noProof/>
            <w:lang w:val="fr-FR" w:eastAsia="fr-FR"/>
          </w:rPr>
          <w:tab/>
        </w:r>
        <w:r w:rsidR="00796EB6" w:rsidRPr="00700BA2">
          <w:rPr>
            <w:rStyle w:val="Hyperlink"/>
            <w:rFonts w:ascii="Arial" w:eastAsia="Times New Roman" w:hAnsi="Arial" w:cs="Arial"/>
            <w:noProof/>
            <w:lang w:val="en-IE"/>
          </w:rPr>
          <w:t>Guidelines on Article 76 Par 1</w:t>
        </w:r>
        <w:r w:rsidR="00796EB6" w:rsidRPr="00700BA2">
          <w:rPr>
            <w:noProof/>
            <w:webHidden/>
          </w:rPr>
          <w:tab/>
        </w:r>
        <w:r w:rsidR="00796EB6" w:rsidRPr="00700BA2">
          <w:rPr>
            <w:noProof/>
            <w:webHidden/>
          </w:rPr>
          <w:fldChar w:fldCharType="begin"/>
        </w:r>
        <w:r w:rsidR="00796EB6" w:rsidRPr="00700BA2">
          <w:rPr>
            <w:noProof/>
            <w:webHidden/>
          </w:rPr>
          <w:instrText xml:space="preserve"> PAGEREF _Toc38464070 \h </w:instrText>
        </w:r>
        <w:r w:rsidR="00796EB6" w:rsidRPr="00700BA2">
          <w:rPr>
            <w:noProof/>
            <w:webHidden/>
          </w:rPr>
        </w:r>
        <w:r w:rsidR="00796EB6" w:rsidRPr="00700BA2">
          <w:rPr>
            <w:noProof/>
            <w:webHidden/>
          </w:rPr>
          <w:fldChar w:fldCharType="separate"/>
        </w:r>
        <w:r w:rsidR="00F645A3">
          <w:rPr>
            <w:noProof/>
            <w:webHidden/>
          </w:rPr>
          <w:t>4</w:t>
        </w:r>
        <w:r w:rsidR="00796EB6" w:rsidRPr="00700BA2">
          <w:rPr>
            <w:noProof/>
            <w:webHidden/>
          </w:rPr>
          <w:fldChar w:fldCharType="end"/>
        </w:r>
      </w:hyperlink>
    </w:p>
    <w:p w14:paraId="380B7A46" w14:textId="65CAB53B"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71" w:history="1">
        <w:r w:rsidR="00796EB6" w:rsidRPr="00700BA2">
          <w:rPr>
            <w:rStyle w:val="Hyperlink"/>
            <w:rFonts w:ascii="Arial" w:eastAsia="Arial" w:hAnsi="Arial" w:cs="Arial"/>
            <w:b/>
            <w:noProof/>
          </w:rPr>
          <w:t>3.1.1.</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Which VHCN fall in the scope of Article 76</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_Toc38464071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5</w:t>
        </w:r>
        <w:r w:rsidR="00796EB6" w:rsidRPr="00700BA2">
          <w:rPr>
            <w:rFonts w:ascii="Arial" w:hAnsi="Arial" w:cs="Arial"/>
            <w:noProof/>
            <w:webHidden/>
          </w:rPr>
          <w:fldChar w:fldCharType="end"/>
        </w:r>
      </w:hyperlink>
    </w:p>
    <w:p w14:paraId="2B5E9E8E" w14:textId="4E37BD5A"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72" w:history="1">
        <w:r w:rsidR="00796EB6" w:rsidRPr="00700BA2">
          <w:rPr>
            <w:rStyle w:val="Hyperlink"/>
            <w:rFonts w:ascii="Arial" w:eastAsia="Arial" w:hAnsi="Arial" w:cs="Arial"/>
            <w:b/>
            <w:noProof/>
          </w:rPr>
          <w:t>3.1.2.</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What is a new VHCN for the purposes of Article 76</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_Toc38464072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6</w:t>
        </w:r>
        <w:r w:rsidR="00796EB6" w:rsidRPr="00700BA2">
          <w:rPr>
            <w:rFonts w:ascii="Arial" w:hAnsi="Arial" w:cs="Arial"/>
            <w:noProof/>
            <w:webHidden/>
          </w:rPr>
          <w:fldChar w:fldCharType="end"/>
        </w:r>
      </w:hyperlink>
    </w:p>
    <w:p w14:paraId="67F5803B" w14:textId="71D3E4A5"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73" w:history="1">
        <w:r w:rsidR="00796EB6" w:rsidRPr="00700BA2">
          <w:rPr>
            <w:rStyle w:val="Hyperlink"/>
            <w:rFonts w:ascii="Arial" w:eastAsia="Arial" w:hAnsi="Arial" w:cs="Arial"/>
            <w:b/>
            <w:noProof/>
          </w:rPr>
          <w:t>3.1.3.</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Timing for making an offer to co-invest</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_Toc38464073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7</w:t>
        </w:r>
        <w:r w:rsidR="00796EB6" w:rsidRPr="00700BA2">
          <w:rPr>
            <w:rFonts w:ascii="Arial" w:hAnsi="Arial" w:cs="Arial"/>
            <w:noProof/>
            <w:webHidden/>
          </w:rPr>
          <w:fldChar w:fldCharType="end"/>
        </w:r>
      </w:hyperlink>
    </w:p>
    <w:p w14:paraId="50453EAF" w14:textId="779CE6A8"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74" w:history="1">
        <w:r w:rsidR="00796EB6" w:rsidRPr="00700BA2">
          <w:rPr>
            <w:rStyle w:val="Hyperlink"/>
            <w:rFonts w:ascii="Arial" w:eastAsia="Arial" w:hAnsi="Arial" w:cs="Arial"/>
            <w:b/>
            <w:noProof/>
          </w:rPr>
          <w:t>3.1.4.</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Type of Investments which may be covered by Article 76</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_Toc38464074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7</w:t>
        </w:r>
        <w:r w:rsidR="00796EB6" w:rsidRPr="00700BA2">
          <w:rPr>
            <w:rFonts w:ascii="Arial" w:hAnsi="Arial" w:cs="Arial"/>
            <w:noProof/>
            <w:webHidden/>
          </w:rPr>
          <w:fldChar w:fldCharType="end"/>
        </w:r>
      </w:hyperlink>
    </w:p>
    <w:p w14:paraId="0B82A4F5" w14:textId="7C30A382"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75" w:history="1">
        <w:r w:rsidR="00796EB6" w:rsidRPr="00700BA2">
          <w:rPr>
            <w:rStyle w:val="Hyperlink"/>
            <w:rFonts w:ascii="Arial" w:eastAsia="Arial" w:hAnsi="Arial" w:cs="Arial"/>
            <w:b/>
            <w:noProof/>
          </w:rPr>
          <w:t>3.1.5.</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Co-investment models which may be covered by Article 76</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_Toc38464075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8</w:t>
        </w:r>
        <w:r w:rsidR="00796EB6" w:rsidRPr="00700BA2">
          <w:rPr>
            <w:rFonts w:ascii="Arial" w:hAnsi="Arial" w:cs="Arial"/>
            <w:noProof/>
            <w:webHidden/>
          </w:rPr>
          <w:fldChar w:fldCharType="end"/>
        </w:r>
      </w:hyperlink>
    </w:p>
    <w:p w14:paraId="2DFEF544" w14:textId="50B88C03" w:rsidR="00796EB6" w:rsidRPr="00700BA2" w:rsidRDefault="00472AA3" w:rsidP="00B74DE7">
      <w:pPr>
        <w:pStyle w:val="TOC2"/>
        <w:rPr>
          <w:rFonts w:eastAsiaTheme="minorEastAsia"/>
          <w:noProof/>
          <w:lang w:val="fr-FR" w:eastAsia="fr-FR"/>
        </w:rPr>
      </w:pPr>
      <w:hyperlink w:anchor="_Toc38464076" w:history="1">
        <w:r w:rsidR="00796EB6" w:rsidRPr="00700BA2">
          <w:rPr>
            <w:rStyle w:val="Hyperlink"/>
            <w:rFonts w:ascii="Arial" w:eastAsia="Times New Roman" w:hAnsi="Arial" w:cs="Arial"/>
            <w:noProof/>
            <w:lang w:val="fr-FR"/>
          </w:rPr>
          <w:t>3.2.</w:t>
        </w:r>
        <w:r w:rsidR="00796EB6" w:rsidRPr="00700BA2">
          <w:rPr>
            <w:rFonts w:eastAsiaTheme="minorEastAsia"/>
            <w:noProof/>
            <w:lang w:val="fr-FR" w:eastAsia="fr-FR"/>
          </w:rPr>
          <w:tab/>
        </w:r>
        <w:r w:rsidR="00796EB6" w:rsidRPr="00700BA2">
          <w:rPr>
            <w:rStyle w:val="Hyperlink"/>
            <w:rFonts w:ascii="Arial" w:eastAsia="Times New Roman" w:hAnsi="Arial" w:cs="Arial"/>
            <w:noProof/>
            <w:lang w:val="fr-FR"/>
          </w:rPr>
          <w:t>Guidelines on Article 76 Par 1 Point A)</w:t>
        </w:r>
        <w:r w:rsidR="00796EB6" w:rsidRPr="00700BA2">
          <w:rPr>
            <w:noProof/>
            <w:webHidden/>
          </w:rPr>
          <w:tab/>
        </w:r>
        <w:r w:rsidR="00796EB6" w:rsidRPr="00700BA2">
          <w:rPr>
            <w:noProof/>
            <w:webHidden/>
          </w:rPr>
          <w:fldChar w:fldCharType="begin"/>
        </w:r>
        <w:r w:rsidR="00796EB6" w:rsidRPr="00700BA2">
          <w:rPr>
            <w:noProof/>
            <w:webHidden/>
          </w:rPr>
          <w:instrText xml:space="preserve"> PAGEREF _Toc38464076 \h </w:instrText>
        </w:r>
        <w:r w:rsidR="00796EB6" w:rsidRPr="00700BA2">
          <w:rPr>
            <w:noProof/>
            <w:webHidden/>
          </w:rPr>
        </w:r>
        <w:r w:rsidR="00796EB6" w:rsidRPr="00700BA2">
          <w:rPr>
            <w:noProof/>
            <w:webHidden/>
          </w:rPr>
          <w:fldChar w:fldCharType="separate"/>
        </w:r>
        <w:r w:rsidR="00F645A3">
          <w:rPr>
            <w:noProof/>
            <w:webHidden/>
          </w:rPr>
          <w:t>10</w:t>
        </w:r>
        <w:r w:rsidR="00796EB6" w:rsidRPr="00700BA2">
          <w:rPr>
            <w:noProof/>
            <w:webHidden/>
          </w:rPr>
          <w:fldChar w:fldCharType="end"/>
        </w:r>
      </w:hyperlink>
    </w:p>
    <w:p w14:paraId="2913F644" w14:textId="7FE1DDD9"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77" w:history="1">
        <w:r w:rsidR="00796EB6" w:rsidRPr="00700BA2">
          <w:rPr>
            <w:rStyle w:val="Hyperlink"/>
            <w:rFonts w:ascii="Arial" w:eastAsia="Arial" w:hAnsi="Arial" w:cs="Arial"/>
            <w:b/>
            <w:noProof/>
          </w:rPr>
          <w:t>3.2.1.</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Open offer</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_Toc38464077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10</w:t>
        </w:r>
        <w:r w:rsidR="00796EB6" w:rsidRPr="00700BA2">
          <w:rPr>
            <w:rFonts w:ascii="Arial" w:hAnsi="Arial" w:cs="Arial"/>
            <w:noProof/>
            <w:webHidden/>
          </w:rPr>
          <w:fldChar w:fldCharType="end"/>
        </w:r>
      </w:hyperlink>
    </w:p>
    <w:p w14:paraId="7DDB49E5" w14:textId="48EEB458" w:rsidR="00796EB6" w:rsidRPr="00700BA2" w:rsidRDefault="00472AA3">
      <w:pPr>
        <w:pStyle w:val="TOC3"/>
        <w:tabs>
          <w:tab w:val="left" w:pos="1540"/>
          <w:tab w:val="right" w:leader="dot" w:pos="9350"/>
        </w:tabs>
        <w:rPr>
          <w:rFonts w:ascii="Arial" w:eastAsiaTheme="minorEastAsia" w:hAnsi="Arial" w:cs="Arial"/>
          <w:noProof/>
          <w:sz w:val="22"/>
          <w:szCs w:val="22"/>
          <w:lang w:val="fr-FR" w:eastAsia="fr-FR"/>
        </w:rPr>
      </w:pPr>
      <w:hyperlink w:anchor="_Toc38464078" w:history="1">
        <w:r w:rsidR="00796EB6" w:rsidRPr="00700BA2">
          <w:rPr>
            <w:rStyle w:val="Hyperlink"/>
            <w:rFonts w:ascii="Arial" w:eastAsia="Arial" w:hAnsi="Arial" w:cs="Arial"/>
            <w:noProof/>
          </w:rPr>
          <w:t>3.2.1.1.</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noProof/>
            <w:lang w:val="en-GB"/>
          </w:rPr>
          <w:t>Joint-venture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_Toc38464078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11</w:t>
        </w:r>
        <w:r w:rsidR="00796EB6" w:rsidRPr="00700BA2">
          <w:rPr>
            <w:rFonts w:ascii="Arial" w:hAnsi="Arial" w:cs="Arial"/>
            <w:noProof/>
            <w:webHidden/>
          </w:rPr>
          <w:fldChar w:fldCharType="end"/>
        </w:r>
      </w:hyperlink>
    </w:p>
    <w:p w14:paraId="60AEC310" w14:textId="1938678A" w:rsidR="00796EB6" w:rsidRPr="00700BA2" w:rsidRDefault="00472AA3">
      <w:pPr>
        <w:pStyle w:val="TOC3"/>
        <w:tabs>
          <w:tab w:val="left" w:pos="1540"/>
          <w:tab w:val="right" w:leader="dot" w:pos="9350"/>
        </w:tabs>
        <w:rPr>
          <w:rFonts w:ascii="Arial" w:eastAsiaTheme="minorEastAsia" w:hAnsi="Arial" w:cs="Arial"/>
          <w:noProof/>
          <w:sz w:val="22"/>
          <w:szCs w:val="22"/>
          <w:lang w:val="fr-FR" w:eastAsia="fr-FR"/>
        </w:rPr>
      </w:pPr>
      <w:hyperlink w:anchor="_Toc38464079" w:history="1">
        <w:r w:rsidR="00796EB6" w:rsidRPr="00700BA2">
          <w:rPr>
            <w:rStyle w:val="Hyperlink"/>
            <w:rFonts w:ascii="Arial" w:eastAsia="Arial" w:hAnsi="Arial" w:cs="Arial"/>
            <w:noProof/>
          </w:rPr>
          <w:t>3.2.1.2.</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noProof/>
            <w:lang w:val="en-GB"/>
          </w:rPr>
          <w:t>Reciprocal access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_Toc38464079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11</w:t>
        </w:r>
        <w:r w:rsidR="00796EB6" w:rsidRPr="00700BA2">
          <w:rPr>
            <w:rFonts w:ascii="Arial" w:hAnsi="Arial" w:cs="Arial"/>
            <w:noProof/>
            <w:webHidden/>
          </w:rPr>
          <w:fldChar w:fldCharType="end"/>
        </w:r>
      </w:hyperlink>
    </w:p>
    <w:p w14:paraId="2B7E13CE" w14:textId="38B5C38A" w:rsidR="00796EB6" w:rsidRPr="00700BA2" w:rsidRDefault="00472AA3">
      <w:pPr>
        <w:pStyle w:val="TOC3"/>
        <w:tabs>
          <w:tab w:val="left" w:pos="1540"/>
          <w:tab w:val="right" w:leader="dot" w:pos="9350"/>
        </w:tabs>
        <w:rPr>
          <w:rFonts w:ascii="Arial" w:eastAsiaTheme="minorEastAsia" w:hAnsi="Arial" w:cs="Arial"/>
          <w:noProof/>
          <w:sz w:val="22"/>
          <w:szCs w:val="22"/>
          <w:lang w:val="fr-FR" w:eastAsia="fr-FR"/>
        </w:rPr>
      </w:pPr>
      <w:hyperlink w:anchor="_Toc38464080" w:history="1">
        <w:r w:rsidR="00796EB6" w:rsidRPr="00700BA2">
          <w:rPr>
            <w:rStyle w:val="Hyperlink"/>
            <w:rFonts w:ascii="Arial" w:eastAsia="Arial" w:hAnsi="Arial" w:cs="Arial"/>
            <w:noProof/>
          </w:rPr>
          <w:t>3.2.1.3.</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noProof/>
            <w:lang w:val="en-GB"/>
          </w:rPr>
          <w:t>One-way access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_Toc38464080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12</w:t>
        </w:r>
        <w:r w:rsidR="00796EB6" w:rsidRPr="00700BA2">
          <w:rPr>
            <w:rFonts w:ascii="Arial" w:hAnsi="Arial" w:cs="Arial"/>
            <w:noProof/>
            <w:webHidden/>
          </w:rPr>
          <w:fldChar w:fldCharType="end"/>
        </w:r>
      </w:hyperlink>
    </w:p>
    <w:p w14:paraId="1ECA9B42" w14:textId="21D2CDC4" w:rsidR="00796EB6" w:rsidRPr="00700BA2" w:rsidRDefault="00472AA3">
      <w:pPr>
        <w:pStyle w:val="TOC3"/>
        <w:tabs>
          <w:tab w:val="left" w:pos="1540"/>
          <w:tab w:val="right" w:leader="dot" w:pos="9350"/>
        </w:tabs>
        <w:rPr>
          <w:rFonts w:ascii="Arial" w:eastAsiaTheme="minorEastAsia" w:hAnsi="Arial" w:cs="Arial"/>
          <w:noProof/>
          <w:sz w:val="22"/>
          <w:szCs w:val="22"/>
          <w:lang w:val="fr-FR" w:eastAsia="fr-FR"/>
        </w:rPr>
      </w:pPr>
      <w:hyperlink w:anchor="_Toc38464081" w:history="1">
        <w:r w:rsidR="00796EB6" w:rsidRPr="00700BA2">
          <w:rPr>
            <w:rStyle w:val="Hyperlink"/>
            <w:rFonts w:ascii="Arial" w:eastAsia="Arial" w:hAnsi="Arial" w:cs="Arial"/>
            <w:noProof/>
          </w:rPr>
          <w:t>3.2.1.4.</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noProof/>
            <w:lang w:val="en-GB"/>
          </w:rPr>
          <w:t>Mixed-form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_Toc38464081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12</w:t>
        </w:r>
        <w:r w:rsidR="00796EB6" w:rsidRPr="00700BA2">
          <w:rPr>
            <w:rFonts w:ascii="Arial" w:hAnsi="Arial" w:cs="Arial"/>
            <w:noProof/>
            <w:webHidden/>
          </w:rPr>
          <w:fldChar w:fldCharType="end"/>
        </w:r>
      </w:hyperlink>
    </w:p>
    <w:p w14:paraId="5DB2E926" w14:textId="5C647375"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82" w:history="1">
        <w:r w:rsidR="00796EB6" w:rsidRPr="00700BA2">
          <w:rPr>
            <w:rStyle w:val="Hyperlink"/>
            <w:rFonts w:ascii="Arial" w:eastAsia="Arial" w:hAnsi="Arial" w:cs="Arial"/>
            <w:b/>
            <w:noProof/>
          </w:rPr>
          <w:t>3.2.2.</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Lifetime of the network</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_Toc38464082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12</w:t>
        </w:r>
        <w:r w:rsidR="00796EB6" w:rsidRPr="00700BA2">
          <w:rPr>
            <w:rFonts w:ascii="Arial" w:hAnsi="Arial" w:cs="Arial"/>
            <w:noProof/>
            <w:webHidden/>
          </w:rPr>
          <w:fldChar w:fldCharType="end"/>
        </w:r>
      </w:hyperlink>
    </w:p>
    <w:p w14:paraId="33A73D28" w14:textId="7A71AFBF" w:rsidR="00796EB6" w:rsidRPr="00700BA2" w:rsidRDefault="00472AA3" w:rsidP="00B74DE7">
      <w:pPr>
        <w:pStyle w:val="TOC2"/>
        <w:rPr>
          <w:rFonts w:eastAsiaTheme="minorEastAsia"/>
          <w:noProof/>
          <w:lang w:val="fr-FR" w:eastAsia="fr-FR"/>
        </w:rPr>
      </w:pPr>
      <w:hyperlink w:anchor="_Toc38464083" w:history="1">
        <w:r w:rsidR="00796EB6" w:rsidRPr="00700BA2">
          <w:rPr>
            <w:rStyle w:val="Hyperlink"/>
            <w:rFonts w:ascii="Arial" w:eastAsia="Times New Roman" w:hAnsi="Arial" w:cs="Arial"/>
            <w:noProof/>
            <w:lang w:val="fr-FR"/>
          </w:rPr>
          <w:t>3.3.</w:t>
        </w:r>
        <w:r w:rsidR="00796EB6" w:rsidRPr="00700BA2">
          <w:rPr>
            <w:rFonts w:eastAsiaTheme="minorEastAsia"/>
            <w:noProof/>
            <w:lang w:val="fr-FR" w:eastAsia="fr-FR"/>
          </w:rPr>
          <w:tab/>
        </w:r>
        <w:r w:rsidR="00796EB6" w:rsidRPr="00700BA2">
          <w:rPr>
            <w:rStyle w:val="Hyperlink"/>
            <w:rFonts w:ascii="Arial" w:eastAsia="Times New Roman" w:hAnsi="Arial" w:cs="Arial"/>
            <w:noProof/>
            <w:lang w:val="fr-FR"/>
          </w:rPr>
          <w:t>Guidelines on Article 76 Par 1 Point B)</w:t>
        </w:r>
        <w:r w:rsidR="00796EB6" w:rsidRPr="00700BA2">
          <w:rPr>
            <w:noProof/>
            <w:webHidden/>
          </w:rPr>
          <w:tab/>
        </w:r>
        <w:r w:rsidR="00796EB6" w:rsidRPr="00700BA2">
          <w:rPr>
            <w:noProof/>
            <w:webHidden/>
          </w:rPr>
          <w:fldChar w:fldCharType="begin"/>
        </w:r>
        <w:r w:rsidR="00796EB6" w:rsidRPr="00700BA2">
          <w:rPr>
            <w:noProof/>
            <w:webHidden/>
          </w:rPr>
          <w:instrText xml:space="preserve"> PAGEREF _Toc38464083 \h </w:instrText>
        </w:r>
        <w:r w:rsidR="00796EB6" w:rsidRPr="00700BA2">
          <w:rPr>
            <w:noProof/>
            <w:webHidden/>
          </w:rPr>
        </w:r>
        <w:r w:rsidR="00796EB6" w:rsidRPr="00700BA2">
          <w:rPr>
            <w:noProof/>
            <w:webHidden/>
          </w:rPr>
          <w:fldChar w:fldCharType="separate"/>
        </w:r>
        <w:r w:rsidR="00F645A3">
          <w:rPr>
            <w:noProof/>
            <w:webHidden/>
          </w:rPr>
          <w:t>13</w:t>
        </w:r>
        <w:r w:rsidR="00796EB6" w:rsidRPr="00700BA2">
          <w:rPr>
            <w:noProof/>
            <w:webHidden/>
          </w:rPr>
          <w:fldChar w:fldCharType="end"/>
        </w:r>
      </w:hyperlink>
    </w:p>
    <w:p w14:paraId="31E20604" w14:textId="492C3E5C"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84" w:history="1">
        <w:r w:rsidR="00796EB6" w:rsidRPr="00700BA2">
          <w:rPr>
            <w:rStyle w:val="Hyperlink"/>
            <w:rFonts w:ascii="Arial" w:eastAsia="Arial" w:hAnsi="Arial" w:cs="Arial"/>
            <w:b/>
            <w:bCs/>
            <w:noProof/>
            <w:lang w:val="en-GB"/>
          </w:rPr>
          <w:t>3.3.1.</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 xml:space="preserve">Guidelines on Article 76 Par 1 Point B) (I) </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_Toc38464084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13</w:t>
        </w:r>
        <w:r w:rsidR="00796EB6" w:rsidRPr="00700BA2">
          <w:rPr>
            <w:rFonts w:ascii="Arial" w:hAnsi="Arial" w:cs="Arial"/>
            <w:noProof/>
            <w:webHidden/>
          </w:rPr>
          <w:fldChar w:fldCharType="end"/>
        </w:r>
      </w:hyperlink>
    </w:p>
    <w:p w14:paraId="470DA32A" w14:textId="4608D191" w:rsidR="00796EB6" w:rsidRPr="00700BA2" w:rsidRDefault="00472AA3">
      <w:pPr>
        <w:pStyle w:val="TOC3"/>
        <w:tabs>
          <w:tab w:val="left" w:pos="1540"/>
          <w:tab w:val="right" w:leader="dot" w:pos="9350"/>
        </w:tabs>
        <w:rPr>
          <w:rFonts w:ascii="Arial" w:eastAsiaTheme="minorEastAsia" w:hAnsi="Arial" w:cs="Arial"/>
          <w:noProof/>
          <w:sz w:val="22"/>
          <w:szCs w:val="22"/>
          <w:lang w:val="fr-FR" w:eastAsia="fr-FR"/>
        </w:rPr>
      </w:pPr>
      <w:hyperlink w:anchor="_Toc38464085" w:history="1">
        <w:r w:rsidR="00796EB6" w:rsidRPr="00700BA2">
          <w:rPr>
            <w:rStyle w:val="Hyperlink"/>
            <w:rFonts w:ascii="Arial" w:eastAsia="Arial" w:hAnsi="Arial" w:cs="Arial"/>
            <w:noProof/>
            <w:lang w:val="en-GB"/>
          </w:rPr>
          <w:t>3.3.1.1.</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noProof/>
            <w:lang w:val="en-GB"/>
          </w:rPr>
          <w:t>“Fair, reasonable and non-discriminatory terms”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_Toc38464085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14</w:t>
        </w:r>
        <w:r w:rsidR="00796EB6" w:rsidRPr="00700BA2">
          <w:rPr>
            <w:rFonts w:ascii="Arial" w:hAnsi="Arial" w:cs="Arial"/>
            <w:noProof/>
            <w:webHidden/>
          </w:rPr>
          <w:fldChar w:fldCharType="end"/>
        </w:r>
      </w:hyperlink>
    </w:p>
    <w:p w14:paraId="713968AF" w14:textId="056047F5" w:rsidR="00796EB6" w:rsidRPr="00700BA2" w:rsidRDefault="00472AA3">
      <w:pPr>
        <w:pStyle w:val="TOC4"/>
        <w:tabs>
          <w:tab w:val="left" w:pos="1760"/>
          <w:tab w:val="right" w:leader="dot" w:pos="9350"/>
        </w:tabs>
        <w:rPr>
          <w:rFonts w:ascii="Arial" w:eastAsiaTheme="minorEastAsia" w:hAnsi="Arial" w:cs="Arial"/>
          <w:noProof/>
          <w:sz w:val="22"/>
          <w:szCs w:val="22"/>
          <w:lang w:val="fr-FR" w:eastAsia="fr-FR"/>
        </w:rPr>
      </w:pPr>
      <w:hyperlink w:anchor="_Toc38464086" w:history="1">
        <w:r w:rsidR="00796EB6" w:rsidRPr="00700BA2">
          <w:rPr>
            <w:rStyle w:val="Hyperlink"/>
            <w:rFonts w:ascii="Arial" w:eastAsia="Times New Roman" w:hAnsi="Arial" w:cs="Arial"/>
            <w:iCs/>
            <w:noProof/>
            <w:lang w:val="en-GB"/>
          </w:rPr>
          <w:t>3.3.1.1.1.</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iCs/>
            <w:noProof/>
            <w:lang w:val="en-GB"/>
          </w:rPr>
          <w:t>Joint-venture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_Toc38464086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16</w:t>
        </w:r>
        <w:r w:rsidR="00796EB6" w:rsidRPr="00700BA2">
          <w:rPr>
            <w:rFonts w:ascii="Arial" w:hAnsi="Arial" w:cs="Arial"/>
            <w:noProof/>
            <w:webHidden/>
          </w:rPr>
          <w:fldChar w:fldCharType="end"/>
        </w:r>
      </w:hyperlink>
    </w:p>
    <w:p w14:paraId="4271E707" w14:textId="1A04E803" w:rsidR="00796EB6" w:rsidRPr="00700BA2" w:rsidRDefault="00472AA3">
      <w:pPr>
        <w:pStyle w:val="TOC4"/>
        <w:tabs>
          <w:tab w:val="left" w:pos="1760"/>
          <w:tab w:val="right" w:leader="dot" w:pos="9350"/>
        </w:tabs>
        <w:rPr>
          <w:rFonts w:ascii="Arial" w:eastAsiaTheme="minorEastAsia" w:hAnsi="Arial" w:cs="Arial"/>
          <w:noProof/>
          <w:sz w:val="22"/>
          <w:szCs w:val="22"/>
          <w:lang w:val="fr-FR" w:eastAsia="fr-FR"/>
        </w:rPr>
      </w:pPr>
      <w:hyperlink w:anchor="_Toc38464087" w:history="1">
        <w:r w:rsidR="00796EB6" w:rsidRPr="00700BA2">
          <w:rPr>
            <w:rStyle w:val="Hyperlink"/>
            <w:rFonts w:ascii="Arial" w:eastAsia="Arial" w:hAnsi="Arial" w:cs="Arial"/>
            <w:iCs/>
            <w:noProof/>
            <w:lang w:val="en-GB"/>
          </w:rPr>
          <w:t>3.3.1.1.2.</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iCs/>
            <w:noProof/>
            <w:lang w:val="en-GB"/>
          </w:rPr>
          <w:t>Reciprocal access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_Toc38464087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17</w:t>
        </w:r>
        <w:r w:rsidR="00796EB6" w:rsidRPr="00700BA2">
          <w:rPr>
            <w:rFonts w:ascii="Arial" w:hAnsi="Arial" w:cs="Arial"/>
            <w:noProof/>
            <w:webHidden/>
          </w:rPr>
          <w:fldChar w:fldCharType="end"/>
        </w:r>
      </w:hyperlink>
    </w:p>
    <w:p w14:paraId="26B8CF49" w14:textId="074DC6C0" w:rsidR="00796EB6" w:rsidRPr="00700BA2" w:rsidRDefault="00472AA3">
      <w:pPr>
        <w:pStyle w:val="TOC4"/>
        <w:tabs>
          <w:tab w:val="left" w:pos="1760"/>
          <w:tab w:val="right" w:leader="dot" w:pos="9350"/>
        </w:tabs>
        <w:rPr>
          <w:rFonts w:ascii="Arial" w:eastAsiaTheme="minorEastAsia" w:hAnsi="Arial" w:cs="Arial"/>
          <w:noProof/>
          <w:sz w:val="22"/>
          <w:szCs w:val="22"/>
          <w:lang w:val="fr-FR" w:eastAsia="fr-FR"/>
        </w:rPr>
      </w:pPr>
      <w:hyperlink w:anchor="_Toc38464088" w:history="1">
        <w:r w:rsidR="00796EB6" w:rsidRPr="00700BA2">
          <w:rPr>
            <w:rStyle w:val="Hyperlink"/>
            <w:rFonts w:ascii="Arial" w:eastAsia="Arial" w:hAnsi="Arial" w:cs="Arial"/>
            <w:iCs/>
            <w:noProof/>
            <w:lang w:val="en-GB"/>
          </w:rPr>
          <w:t>3.3.1.1.3.</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iCs/>
            <w:noProof/>
            <w:lang w:val="en-GB"/>
          </w:rPr>
          <w:t>One-way access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_Toc38464088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18</w:t>
        </w:r>
        <w:r w:rsidR="00796EB6" w:rsidRPr="00700BA2">
          <w:rPr>
            <w:rFonts w:ascii="Arial" w:hAnsi="Arial" w:cs="Arial"/>
            <w:noProof/>
            <w:webHidden/>
          </w:rPr>
          <w:fldChar w:fldCharType="end"/>
        </w:r>
      </w:hyperlink>
    </w:p>
    <w:p w14:paraId="1AF4F1E6" w14:textId="004A058B" w:rsidR="00796EB6" w:rsidRPr="00700BA2" w:rsidRDefault="00472AA3">
      <w:pPr>
        <w:pStyle w:val="TOC4"/>
        <w:tabs>
          <w:tab w:val="left" w:pos="1760"/>
          <w:tab w:val="right" w:leader="dot" w:pos="9350"/>
        </w:tabs>
        <w:rPr>
          <w:rFonts w:ascii="Arial" w:eastAsiaTheme="minorEastAsia" w:hAnsi="Arial" w:cs="Arial"/>
          <w:noProof/>
          <w:sz w:val="22"/>
          <w:szCs w:val="22"/>
          <w:lang w:val="fr-FR" w:eastAsia="fr-FR"/>
        </w:rPr>
      </w:pPr>
      <w:hyperlink w:anchor="_Toc38464089" w:history="1">
        <w:r w:rsidR="00796EB6" w:rsidRPr="00700BA2">
          <w:rPr>
            <w:rStyle w:val="Hyperlink"/>
            <w:rFonts w:ascii="Arial" w:eastAsia="Times New Roman" w:hAnsi="Arial" w:cs="Arial"/>
            <w:iCs/>
            <w:noProof/>
            <w:lang w:val="en-GB"/>
          </w:rPr>
          <w:t>3.3.1.1.4.</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iCs/>
            <w:noProof/>
            <w:lang w:val="en-GB"/>
          </w:rPr>
          <w:t>Mixed-form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_Toc38464089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19</w:t>
        </w:r>
        <w:r w:rsidR="00796EB6" w:rsidRPr="00700BA2">
          <w:rPr>
            <w:rFonts w:ascii="Arial" w:hAnsi="Arial" w:cs="Arial"/>
            <w:noProof/>
            <w:webHidden/>
          </w:rPr>
          <w:fldChar w:fldCharType="end"/>
        </w:r>
      </w:hyperlink>
    </w:p>
    <w:p w14:paraId="41F0B7E1" w14:textId="09CEEA6E" w:rsidR="00796EB6" w:rsidRPr="00700BA2" w:rsidRDefault="00472AA3">
      <w:pPr>
        <w:pStyle w:val="TOC4"/>
        <w:tabs>
          <w:tab w:val="left" w:pos="1760"/>
          <w:tab w:val="right" w:leader="dot" w:pos="9350"/>
        </w:tabs>
        <w:rPr>
          <w:rFonts w:ascii="Arial" w:eastAsiaTheme="minorEastAsia" w:hAnsi="Arial" w:cs="Arial"/>
          <w:noProof/>
          <w:sz w:val="22"/>
          <w:szCs w:val="22"/>
          <w:lang w:val="fr-FR" w:eastAsia="fr-FR"/>
        </w:rPr>
      </w:pPr>
      <w:hyperlink w:anchor="_Toc38464090" w:history="1">
        <w:r w:rsidR="00796EB6" w:rsidRPr="00700BA2">
          <w:rPr>
            <w:rStyle w:val="Hyperlink"/>
            <w:rFonts w:ascii="Arial" w:eastAsia="Times New Roman" w:hAnsi="Arial" w:cs="Arial"/>
            <w:iCs/>
            <w:noProof/>
            <w:lang w:val="en-GB"/>
          </w:rPr>
          <w:t>3.3.1.1.5.</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iCs/>
            <w:noProof/>
            <w:lang w:val="en-GB"/>
          </w:rPr>
          <w:t>Considerations for all types of co-investment models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_Toc38464090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19</w:t>
        </w:r>
        <w:r w:rsidR="00796EB6" w:rsidRPr="00700BA2">
          <w:rPr>
            <w:rFonts w:ascii="Arial" w:hAnsi="Arial" w:cs="Arial"/>
            <w:noProof/>
            <w:webHidden/>
          </w:rPr>
          <w:fldChar w:fldCharType="end"/>
        </w:r>
      </w:hyperlink>
    </w:p>
    <w:p w14:paraId="4ACB1CD6" w14:textId="5553EE15" w:rsidR="00796EB6" w:rsidRPr="00700BA2" w:rsidRDefault="00472AA3">
      <w:pPr>
        <w:pStyle w:val="TOC3"/>
        <w:tabs>
          <w:tab w:val="left" w:pos="1540"/>
          <w:tab w:val="right" w:leader="dot" w:pos="9350"/>
        </w:tabs>
        <w:rPr>
          <w:rFonts w:ascii="Arial" w:eastAsiaTheme="minorEastAsia" w:hAnsi="Arial" w:cs="Arial"/>
          <w:noProof/>
          <w:sz w:val="22"/>
          <w:szCs w:val="22"/>
          <w:lang w:val="fr-FR" w:eastAsia="fr-FR"/>
        </w:rPr>
      </w:pPr>
      <w:hyperlink w:anchor="_Toc38464091" w:history="1">
        <w:r w:rsidR="00796EB6" w:rsidRPr="00700BA2">
          <w:rPr>
            <w:rStyle w:val="Hyperlink"/>
            <w:rFonts w:ascii="Arial" w:eastAsia="Arial" w:hAnsi="Arial" w:cs="Arial"/>
            <w:noProof/>
            <w:lang w:val="en-GB"/>
          </w:rPr>
          <w:t>3.3.1.2.</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noProof/>
            <w:lang w:val="en-GB"/>
          </w:rPr>
          <w:t>“Access to the full capacity of the network”</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_Toc38464091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20</w:t>
        </w:r>
        <w:r w:rsidR="00796EB6" w:rsidRPr="00700BA2">
          <w:rPr>
            <w:rFonts w:ascii="Arial" w:hAnsi="Arial" w:cs="Arial"/>
            <w:noProof/>
            <w:webHidden/>
          </w:rPr>
          <w:fldChar w:fldCharType="end"/>
        </w:r>
      </w:hyperlink>
    </w:p>
    <w:p w14:paraId="6D1E1F5F" w14:textId="5AB1683E"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92" w:history="1">
        <w:r w:rsidR="00796EB6" w:rsidRPr="00700BA2">
          <w:rPr>
            <w:rStyle w:val="Hyperlink"/>
            <w:rFonts w:ascii="Arial" w:eastAsia="Arial" w:hAnsi="Arial" w:cs="Arial"/>
            <w:b/>
            <w:bCs/>
            <w:noProof/>
            <w:lang w:val="fr-FR"/>
          </w:rPr>
          <w:t>3.3.2.</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fr-FR"/>
          </w:rPr>
          <w:t xml:space="preserve">Guidelines on Article 76 Par 1 Point B) (II) </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_Toc38464092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21</w:t>
        </w:r>
        <w:r w:rsidR="00796EB6" w:rsidRPr="00700BA2">
          <w:rPr>
            <w:rFonts w:ascii="Arial" w:hAnsi="Arial" w:cs="Arial"/>
            <w:noProof/>
            <w:webHidden/>
          </w:rPr>
          <w:fldChar w:fldCharType="end"/>
        </w:r>
      </w:hyperlink>
    </w:p>
    <w:p w14:paraId="37A6735A" w14:textId="04E66290"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93" w:history="1">
        <w:r w:rsidR="00796EB6" w:rsidRPr="00700BA2">
          <w:rPr>
            <w:rStyle w:val="Hyperlink"/>
            <w:rFonts w:ascii="Arial" w:eastAsia="Arial" w:hAnsi="Arial" w:cs="Arial"/>
            <w:b/>
            <w:bCs/>
            <w:noProof/>
            <w:lang w:val="fr-FR"/>
          </w:rPr>
          <w:t>3.3.3.</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fr-FR"/>
          </w:rPr>
          <w:t xml:space="preserve">Guidelines on Article 76 Par 1 Point B) (III) </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_Toc38464093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22</w:t>
        </w:r>
        <w:r w:rsidR="00796EB6" w:rsidRPr="00700BA2">
          <w:rPr>
            <w:rFonts w:ascii="Arial" w:hAnsi="Arial" w:cs="Arial"/>
            <w:noProof/>
            <w:webHidden/>
          </w:rPr>
          <w:fldChar w:fldCharType="end"/>
        </w:r>
      </w:hyperlink>
    </w:p>
    <w:p w14:paraId="07A416A5" w14:textId="185AAB98"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94" w:history="1">
        <w:r w:rsidR="00796EB6" w:rsidRPr="00700BA2">
          <w:rPr>
            <w:rStyle w:val="Hyperlink"/>
            <w:rFonts w:ascii="Arial" w:eastAsia="Arial" w:hAnsi="Arial" w:cs="Arial"/>
            <w:b/>
            <w:bCs/>
            <w:noProof/>
            <w:lang w:val="fr-FR"/>
          </w:rPr>
          <w:t>3.3.4.</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fr-FR"/>
          </w:rPr>
          <w:t xml:space="preserve">Guidelines on Article 76 Par 1 Point B) (IV) </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_Toc38464094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23</w:t>
        </w:r>
        <w:r w:rsidR="00796EB6" w:rsidRPr="00700BA2">
          <w:rPr>
            <w:rFonts w:ascii="Arial" w:hAnsi="Arial" w:cs="Arial"/>
            <w:noProof/>
            <w:webHidden/>
          </w:rPr>
          <w:fldChar w:fldCharType="end"/>
        </w:r>
      </w:hyperlink>
    </w:p>
    <w:p w14:paraId="3D056E57" w14:textId="62AF6FA4" w:rsidR="00796EB6" w:rsidRPr="00700BA2" w:rsidRDefault="00472AA3" w:rsidP="00B74DE7">
      <w:pPr>
        <w:pStyle w:val="TOC2"/>
        <w:rPr>
          <w:rFonts w:eastAsiaTheme="minorEastAsia"/>
          <w:noProof/>
          <w:lang w:val="fr-FR" w:eastAsia="fr-FR"/>
        </w:rPr>
      </w:pPr>
      <w:hyperlink w:anchor="_Toc38464095" w:history="1">
        <w:r w:rsidR="00796EB6" w:rsidRPr="00700BA2">
          <w:rPr>
            <w:rStyle w:val="Hyperlink"/>
            <w:rFonts w:ascii="Arial" w:eastAsia="Times New Roman" w:hAnsi="Arial" w:cs="Arial"/>
            <w:caps/>
            <w:noProof/>
            <w:lang w:val="fr-FR"/>
          </w:rPr>
          <w:t>3.4.</w:t>
        </w:r>
        <w:r w:rsidR="00796EB6" w:rsidRPr="00700BA2">
          <w:rPr>
            <w:rFonts w:eastAsiaTheme="minorEastAsia"/>
            <w:noProof/>
            <w:lang w:val="fr-FR" w:eastAsia="fr-FR"/>
          </w:rPr>
          <w:tab/>
        </w:r>
        <w:r w:rsidR="00796EB6" w:rsidRPr="00700BA2">
          <w:rPr>
            <w:rStyle w:val="Hyperlink"/>
            <w:rFonts w:ascii="Arial" w:eastAsia="Times New Roman" w:hAnsi="Arial" w:cs="Arial"/>
            <w:noProof/>
            <w:lang w:val="fr-FR"/>
          </w:rPr>
          <w:t xml:space="preserve">Guidelines on Article 76 Par 1 Point C) </w:t>
        </w:r>
        <w:r w:rsidR="00796EB6" w:rsidRPr="00700BA2">
          <w:rPr>
            <w:noProof/>
            <w:webHidden/>
          </w:rPr>
          <w:tab/>
        </w:r>
        <w:r w:rsidR="00796EB6" w:rsidRPr="00700BA2">
          <w:rPr>
            <w:noProof/>
            <w:webHidden/>
          </w:rPr>
          <w:fldChar w:fldCharType="begin"/>
        </w:r>
        <w:r w:rsidR="00796EB6" w:rsidRPr="00700BA2">
          <w:rPr>
            <w:noProof/>
            <w:webHidden/>
          </w:rPr>
          <w:instrText xml:space="preserve"> PAGEREF _Toc38464095 \h </w:instrText>
        </w:r>
        <w:r w:rsidR="00796EB6" w:rsidRPr="00700BA2">
          <w:rPr>
            <w:noProof/>
            <w:webHidden/>
          </w:rPr>
        </w:r>
        <w:r w:rsidR="00796EB6" w:rsidRPr="00700BA2">
          <w:rPr>
            <w:noProof/>
            <w:webHidden/>
          </w:rPr>
          <w:fldChar w:fldCharType="separate"/>
        </w:r>
        <w:r w:rsidR="00F645A3">
          <w:rPr>
            <w:noProof/>
            <w:webHidden/>
          </w:rPr>
          <w:t>24</w:t>
        </w:r>
        <w:r w:rsidR="00796EB6" w:rsidRPr="00700BA2">
          <w:rPr>
            <w:noProof/>
            <w:webHidden/>
          </w:rPr>
          <w:fldChar w:fldCharType="end"/>
        </w:r>
      </w:hyperlink>
    </w:p>
    <w:p w14:paraId="1466D481" w14:textId="5988C40A" w:rsidR="00796EB6" w:rsidRPr="00700BA2" w:rsidRDefault="00472AA3" w:rsidP="00B74DE7">
      <w:pPr>
        <w:pStyle w:val="TOC2"/>
        <w:rPr>
          <w:rFonts w:eastAsiaTheme="minorEastAsia"/>
          <w:noProof/>
          <w:lang w:val="fr-FR" w:eastAsia="fr-FR"/>
        </w:rPr>
      </w:pPr>
      <w:hyperlink w:anchor="_Toc38464096" w:history="1">
        <w:r w:rsidR="00796EB6" w:rsidRPr="00700BA2">
          <w:rPr>
            <w:rStyle w:val="Hyperlink"/>
            <w:rFonts w:ascii="Arial" w:hAnsi="Arial" w:cs="Arial"/>
            <w:caps/>
            <w:noProof/>
            <w:lang w:val="fr-BE"/>
          </w:rPr>
          <w:t>3.5.</w:t>
        </w:r>
        <w:r w:rsidR="00796EB6" w:rsidRPr="00700BA2">
          <w:rPr>
            <w:rFonts w:eastAsiaTheme="minorEastAsia"/>
            <w:noProof/>
            <w:lang w:val="fr-FR" w:eastAsia="fr-FR"/>
          </w:rPr>
          <w:tab/>
        </w:r>
        <w:r w:rsidR="00796EB6" w:rsidRPr="00700BA2">
          <w:rPr>
            <w:rStyle w:val="Hyperlink"/>
            <w:rFonts w:ascii="Arial" w:hAnsi="Arial" w:cs="Arial"/>
            <w:noProof/>
            <w:lang w:val="fr-BE"/>
          </w:rPr>
          <w:t>Guidelines on Article 76 Par 1 Point D)</w:t>
        </w:r>
        <w:r w:rsidR="00796EB6" w:rsidRPr="00700BA2">
          <w:rPr>
            <w:noProof/>
            <w:webHidden/>
          </w:rPr>
          <w:tab/>
        </w:r>
        <w:r w:rsidR="00796EB6" w:rsidRPr="00700BA2">
          <w:rPr>
            <w:noProof/>
            <w:webHidden/>
          </w:rPr>
          <w:fldChar w:fldCharType="begin"/>
        </w:r>
        <w:r w:rsidR="00796EB6" w:rsidRPr="00700BA2">
          <w:rPr>
            <w:noProof/>
            <w:webHidden/>
          </w:rPr>
          <w:instrText xml:space="preserve"> PAGEREF _Toc38464096 \h </w:instrText>
        </w:r>
        <w:r w:rsidR="00796EB6" w:rsidRPr="00700BA2">
          <w:rPr>
            <w:noProof/>
            <w:webHidden/>
          </w:rPr>
        </w:r>
        <w:r w:rsidR="00796EB6" w:rsidRPr="00700BA2">
          <w:rPr>
            <w:noProof/>
            <w:webHidden/>
          </w:rPr>
          <w:fldChar w:fldCharType="separate"/>
        </w:r>
        <w:r w:rsidR="00F645A3">
          <w:rPr>
            <w:noProof/>
            <w:webHidden/>
          </w:rPr>
          <w:t>27</w:t>
        </w:r>
        <w:r w:rsidR="00796EB6" w:rsidRPr="00700BA2">
          <w:rPr>
            <w:noProof/>
            <w:webHidden/>
          </w:rPr>
          <w:fldChar w:fldCharType="end"/>
        </w:r>
      </w:hyperlink>
    </w:p>
    <w:p w14:paraId="47F3049F" w14:textId="135618F9"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97" w:history="1">
        <w:r w:rsidR="00796EB6" w:rsidRPr="00700BA2">
          <w:rPr>
            <w:rStyle w:val="Hyperlink"/>
            <w:rFonts w:ascii="Arial" w:eastAsia="Arial" w:hAnsi="Arial" w:cs="Arial"/>
            <w:b/>
            <w:bCs/>
            <w:noProof/>
            <w:lang w:val="en-GB"/>
          </w:rPr>
          <w:t>3.5.1.</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Access as before the deployment</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_Toc38464097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28</w:t>
        </w:r>
        <w:r w:rsidR="00796EB6" w:rsidRPr="00700BA2">
          <w:rPr>
            <w:rFonts w:ascii="Arial" w:hAnsi="Arial" w:cs="Arial"/>
            <w:noProof/>
            <w:webHidden/>
          </w:rPr>
          <w:fldChar w:fldCharType="end"/>
        </w:r>
      </w:hyperlink>
    </w:p>
    <w:p w14:paraId="51052499" w14:textId="12EFE587" w:rsidR="00796EB6" w:rsidRPr="00700BA2" w:rsidRDefault="00472AA3">
      <w:pPr>
        <w:pStyle w:val="TOC3"/>
        <w:tabs>
          <w:tab w:val="left" w:pos="1320"/>
          <w:tab w:val="right" w:leader="dot" w:pos="9350"/>
        </w:tabs>
        <w:rPr>
          <w:rFonts w:ascii="Arial" w:eastAsiaTheme="minorEastAsia" w:hAnsi="Arial" w:cs="Arial"/>
          <w:noProof/>
          <w:sz w:val="22"/>
          <w:szCs w:val="22"/>
          <w:lang w:val="fr-FR" w:eastAsia="fr-FR"/>
        </w:rPr>
      </w:pPr>
      <w:hyperlink w:anchor="_Toc38464098" w:history="1">
        <w:r w:rsidR="00796EB6" w:rsidRPr="00700BA2">
          <w:rPr>
            <w:rStyle w:val="Hyperlink"/>
            <w:rFonts w:ascii="Arial" w:eastAsia="Arial" w:hAnsi="Arial" w:cs="Arial"/>
            <w:b/>
            <w:bCs/>
            <w:noProof/>
            <w:lang w:val="en-GB"/>
          </w:rPr>
          <w:t>3.5.2.</w:t>
        </w:r>
        <w:r w:rsidR="00796EB6" w:rsidRPr="00700BA2">
          <w:rPr>
            <w:rFonts w:ascii="Arial" w:eastAsiaTheme="minorEastAsia" w:hAnsi="Arial" w:cs="Arial"/>
            <w:noProof/>
            <w:sz w:val="22"/>
            <w:szCs w:val="22"/>
            <w:lang w:val="fr-FR" w:eastAsia="fr-FR"/>
          </w:rPr>
          <w:tab/>
        </w:r>
        <w:r w:rsidR="00796EB6" w:rsidRPr="00700BA2">
          <w:rPr>
            <w:rStyle w:val="Hyperlink"/>
            <w:rFonts w:ascii="Arial" w:eastAsia="Arial" w:hAnsi="Arial" w:cs="Arial"/>
            <w:b/>
            <w:bCs/>
            <w:noProof/>
            <w:lang w:val="en-GB"/>
          </w:rPr>
          <w:t>Access to very high capacity network elements</w:t>
        </w:r>
        <w:r w:rsidR="00796EB6" w:rsidRPr="00700BA2">
          <w:rPr>
            <w:rFonts w:ascii="Arial" w:hAnsi="Arial" w:cs="Arial"/>
            <w:noProof/>
            <w:webHidden/>
          </w:rPr>
          <w:tab/>
        </w:r>
        <w:r w:rsidR="00796EB6" w:rsidRPr="00700BA2">
          <w:rPr>
            <w:rFonts w:ascii="Arial" w:hAnsi="Arial" w:cs="Arial"/>
            <w:noProof/>
            <w:webHidden/>
          </w:rPr>
          <w:fldChar w:fldCharType="begin"/>
        </w:r>
        <w:r w:rsidR="00796EB6" w:rsidRPr="00700BA2">
          <w:rPr>
            <w:rFonts w:ascii="Arial" w:hAnsi="Arial" w:cs="Arial"/>
            <w:noProof/>
            <w:webHidden/>
          </w:rPr>
          <w:instrText xml:space="preserve"> PAGEREF _Toc38464098 \h </w:instrText>
        </w:r>
        <w:r w:rsidR="00796EB6" w:rsidRPr="00700BA2">
          <w:rPr>
            <w:rFonts w:ascii="Arial" w:hAnsi="Arial" w:cs="Arial"/>
            <w:noProof/>
            <w:webHidden/>
          </w:rPr>
        </w:r>
        <w:r w:rsidR="00796EB6" w:rsidRPr="00700BA2">
          <w:rPr>
            <w:rFonts w:ascii="Arial" w:hAnsi="Arial" w:cs="Arial"/>
            <w:noProof/>
            <w:webHidden/>
          </w:rPr>
          <w:fldChar w:fldCharType="separate"/>
        </w:r>
        <w:r w:rsidR="00F645A3">
          <w:rPr>
            <w:rFonts w:ascii="Arial" w:hAnsi="Arial" w:cs="Arial"/>
            <w:noProof/>
            <w:webHidden/>
          </w:rPr>
          <w:t>28</w:t>
        </w:r>
        <w:r w:rsidR="00796EB6" w:rsidRPr="00700BA2">
          <w:rPr>
            <w:rFonts w:ascii="Arial" w:hAnsi="Arial" w:cs="Arial"/>
            <w:noProof/>
            <w:webHidden/>
          </w:rPr>
          <w:fldChar w:fldCharType="end"/>
        </w:r>
      </w:hyperlink>
    </w:p>
    <w:p w14:paraId="4D59DD72" w14:textId="31832436" w:rsidR="00796EB6" w:rsidRPr="00700BA2" w:rsidRDefault="00472AA3" w:rsidP="00B74DE7">
      <w:pPr>
        <w:pStyle w:val="TOC2"/>
        <w:rPr>
          <w:rFonts w:eastAsiaTheme="minorEastAsia"/>
          <w:noProof/>
          <w:lang w:val="fr-FR" w:eastAsia="fr-FR"/>
        </w:rPr>
      </w:pPr>
      <w:hyperlink w:anchor="_Toc38464099" w:history="1">
        <w:r w:rsidR="00796EB6" w:rsidRPr="00700BA2">
          <w:rPr>
            <w:rStyle w:val="Hyperlink"/>
            <w:rFonts w:ascii="Arial" w:hAnsi="Arial" w:cs="Arial"/>
            <w:caps/>
            <w:noProof/>
            <w:lang w:val="fr-BE"/>
          </w:rPr>
          <w:t>3.6.</w:t>
        </w:r>
        <w:r w:rsidR="00796EB6" w:rsidRPr="00700BA2">
          <w:rPr>
            <w:rFonts w:eastAsiaTheme="minorEastAsia"/>
            <w:noProof/>
            <w:lang w:val="fr-FR" w:eastAsia="fr-FR"/>
          </w:rPr>
          <w:tab/>
        </w:r>
        <w:r w:rsidR="00796EB6" w:rsidRPr="00700BA2">
          <w:rPr>
            <w:rStyle w:val="Hyperlink"/>
            <w:rFonts w:ascii="Arial" w:hAnsi="Arial" w:cs="Arial"/>
            <w:noProof/>
            <w:lang w:val="fr-BE"/>
          </w:rPr>
          <w:t>Guidelines on Article 76 Par 1 Point E)</w:t>
        </w:r>
        <w:r w:rsidR="00796EB6" w:rsidRPr="00700BA2">
          <w:rPr>
            <w:noProof/>
            <w:webHidden/>
          </w:rPr>
          <w:tab/>
        </w:r>
        <w:r w:rsidR="00796EB6" w:rsidRPr="00700BA2">
          <w:rPr>
            <w:noProof/>
            <w:webHidden/>
          </w:rPr>
          <w:fldChar w:fldCharType="begin"/>
        </w:r>
        <w:r w:rsidR="00796EB6" w:rsidRPr="00700BA2">
          <w:rPr>
            <w:noProof/>
            <w:webHidden/>
          </w:rPr>
          <w:instrText xml:space="preserve"> PAGEREF _Toc38464099 \h </w:instrText>
        </w:r>
        <w:r w:rsidR="00796EB6" w:rsidRPr="00700BA2">
          <w:rPr>
            <w:noProof/>
            <w:webHidden/>
          </w:rPr>
        </w:r>
        <w:r w:rsidR="00796EB6" w:rsidRPr="00700BA2">
          <w:rPr>
            <w:noProof/>
            <w:webHidden/>
          </w:rPr>
          <w:fldChar w:fldCharType="separate"/>
        </w:r>
        <w:r w:rsidR="00F645A3">
          <w:rPr>
            <w:noProof/>
            <w:webHidden/>
          </w:rPr>
          <w:t>30</w:t>
        </w:r>
        <w:r w:rsidR="00796EB6" w:rsidRPr="00700BA2">
          <w:rPr>
            <w:noProof/>
            <w:webHidden/>
          </w:rPr>
          <w:fldChar w:fldCharType="end"/>
        </w:r>
      </w:hyperlink>
    </w:p>
    <w:p w14:paraId="0B912C6B" w14:textId="17B85176" w:rsidR="00796EB6" w:rsidRPr="00700BA2" w:rsidRDefault="00472AA3">
      <w:pPr>
        <w:pStyle w:val="TOC1"/>
        <w:tabs>
          <w:tab w:val="left" w:pos="440"/>
          <w:tab w:val="right" w:leader="dot" w:pos="9350"/>
        </w:tabs>
        <w:rPr>
          <w:rFonts w:ascii="Arial" w:eastAsiaTheme="minorEastAsia" w:hAnsi="Arial" w:cs="Arial"/>
          <w:b w:val="0"/>
          <w:bCs w:val="0"/>
          <w:i w:val="0"/>
          <w:iCs w:val="0"/>
          <w:noProof/>
          <w:sz w:val="22"/>
          <w:szCs w:val="22"/>
          <w:lang w:val="fr-FR" w:eastAsia="fr-FR"/>
        </w:rPr>
      </w:pPr>
      <w:hyperlink w:anchor="_Toc38464100" w:history="1">
        <w:r w:rsidR="00796EB6" w:rsidRPr="00700BA2">
          <w:rPr>
            <w:rStyle w:val="Hyperlink"/>
            <w:rFonts w:ascii="Arial" w:eastAsia="Times New Roman" w:hAnsi="Arial" w:cs="Arial"/>
            <w:i w:val="0"/>
            <w:noProof/>
            <w:lang w:val="en-IE"/>
          </w:rPr>
          <w:t>4.</w:t>
        </w:r>
        <w:r w:rsidR="00796EB6" w:rsidRPr="00700BA2">
          <w:rPr>
            <w:rFonts w:ascii="Arial" w:eastAsiaTheme="minorEastAsia" w:hAnsi="Arial" w:cs="Arial"/>
            <w:b w:val="0"/>
            <w:bCs w:val="0"/>
            <w:i w:val="0"/>
            <w:iCs w:val="0"/>
            <w:noProof/>
            <w:sz w:val="22"/>
            <w:szCs w:val="22"/>
            <w:lang w:val="fr-FR" w:eastAsia="fr-FR"/>
          </w:rPr>
          <w:tab/>
        </w:r>
        <w:r w:rsidR="00796EB6" w:rsidRPr="00700BA2">
          <w:rPr>
            <w:rStyle w:val="Hyperlink"/>
            <w:rFonts w:ascii="Arial" w:eastAsia="Times New Roman" w:hAnsi="Arial" w:cs="Arial"/>
            <w:i w:val="0"/>
            <w:noProof/>
            <w:lang w:val="en-IE"/>
          </w:rPr>
          <w:t>REVIEW CLAUSE</w:t>
        </w:r>
        <w:r w:rsidR="00796EB6" w:rsidRPr="00700BA2">
          <w:rPr>
            <w:rFonts w:ascii="Arial" w:hAnsi="Arial" w:cs="Arial"/>
            <w:i w:val="0"/>
            <w:noProof/>
            <w:webHidden/>
          </w:rPr>
          <w:tab/>
        </w:r>
        <w:r w:rsidR="00796EB6" w:rsidRPr="00700BA2">
          <w:rPr>
            <w:rFonts w:ascii="Arial" w:hAnsi="Arial" w:cs="Arial"/>
            <w:i w:val="0"/>
            <w:noProof/>
            <w:webHidden/>
          </w:rPr>
          <w:fldChar w:fldCharType="begin"/>
        </w:r>
        <w:r w:rsidR="00796EB6" w:rsidRPr="00700BA2">
          <w:rPr>
            <w:rFonts w:ascii="Arial" w:hAnsi="Arial" w:cs="Arial"/>
            <w:i w:val="0"/>
            <w:noProof/>
            <w:webHidden/>
          </w:rPr>
          <w:instrText xml:space="preserve"> PAGEREF _Toc38464100 \h </w:instrText>
        </w:r>
        <w:r w:rsidR="00796EB6" w:rsidRPr="00700BA2">
          <w:rPr>
            <w:rFonts w:ascii="Arial" w:hAnsi="Arial" w:cs="Arial"/>
            <w:i w:val="0"/>
            <w:noProof/>
            <w:webHidden/>
          </w:rPr>
        </w:r>
        <w:r w:rsidR="00796EB6" w:rsidRPr="00700BA2">
          <w:rPr>
            <w:rFonts w:ascii="Arial" w:hAnsi="Arial" w:cs="Arial"/>
            <w:i w:val="0"/>
            <w:noProof/>
            <w:webHidden/>
          </w:rPr>
          <w:fldChar w:fldCharType="separate"/>
        </w:r>
        <w:r w:rsidR="00F645A3">
          <w:rPr>
            <w:rFonts w:ascii="Arial" w:hAnsi="Arial" w:cs="Arial"/>
            <w:i w:val="0"/>
            <w:noProof/>
            <w:webHidden/>
          </w:rPr>
          <w:t>30</w:t>
        </w:r>
        <w:r w:rsidR="00796EB6" w:rsidRPr="00700BA2">
          <w:rPr>
            <w:rFonts w:ascii="Arial" w:hAnsi="Arial" w:cs="Arial"/>
            <w:i w:val="0"/>
            <w:noProof/>
            <w:webHidden/>
          </w:rPr>
          <w:fldChar w:fldCharType="end"/>
        </w:r>
      </w:hyperlink>
    </w:p>
    <w:p w14:paraId="5B61BBB8" w14:textId="77777777" w:rsidR="00565BB9" w:rsidRPr="00565BB9" w:rsidRDefault="00E01E74" w:rsidP="00565BB9">
      <w:pPr>
        <w:spacing w:after="0"/>
        <w:rPr>
          <w:rFonts w:ascii="Arial" w:eastAsia="Arial" w:hAnsi="Arial" w:cs="Times New Roman"/>
          <w:lang w:val="en-IE"/>
        </w:rPr>
      </w:pPr>
      <w:r w:rsidRPr="00700BA2">
        <w:rPr>
          <w:rFonts w:ascii="Arial" w:eastAsia="Arial" w:hAnsi="Arial" w:cs="Arial"/>
          <w:b/>
          <w:lang w:val="en-IE"/>
        </w:rPr>
        <w:fldChar w:fldCharType="end"/>
      </w:r>
      <w:r w:rsidR="00565BB9" w:rsidRPr="00565BB9">
        <w:rPr>
          <w:rFonts w:ascii="Arial" w:eastAsia="Arial" w:hAnsi="Arial" w:cs="Times New Roman"/>
          <w:lang w:val="en-IE"/>
        </w:rPr>
        <w:br w:type="page"/>
      </w:r>
    </w:p>
    <w:p w14:paraId="4F6B5A2F" w14:textId="77777777" w:rsidR="00565BB9" w:rsidRPr="00565BB9" w:rsidRDefault="00565BB9" w:rsidP="00565BB9">
      <w:pPr>
        <w:keepNext/>
        <w:keepLines/>
        <w:numPr>
          <w:ilvl w:val="0"/>
          <w:numId w:val="22"/>
        </w:numPr>
        <w:spacing w:before="480" w:after="120"/>
        <w:outlineLvl w:val="0"/>
        <w:rPr>
          <w:rFonts w:ascii="Arial" w:eastAsia="Times New Roman" w:hAnsi="Arial" w:cs="Times New Roman"/>
          <w:b/>
          <w:bCs/>
          <w:color w:val="000000"/>
          <w:sz w:val="32"/>
          <w:szCs w:val="28"/>
          <w:lang w:val="en-IE"/>
        </w:rPr>
      </w:pPr>
      <w:bookmarkStart w:id="0" w:name="_Toc24096913"/>
      <w:bookmarkStart w:id="1" w:name="_Toc31190812"/>
      <w:bookmarkStart w:id="2" w:name="_Toc24112025"/>
      <w:bookmarkStart w:id="3" w:name="_Toc36816348"/>
      <w:bookmarkStart w:id="4" w:name="_Toc36030357"/>
      <w:bookmarkStart w:id="5" w:name="_Toc38464067"/>
      <w:r w:rsidRPr="00565BB9">
        <w:rPr>
          <w:rFonts w:ascii="Arial" w:eastAsia="Times New Roman" w:hAnsi="Arial" w:cs="Times New Roman"/>
          <w:b/>
          <w:bCs/>
          <w:color w:val="000000"/>
          <w:sz w:val="32"/>
          <w:szCs w:val="28"/>
          <w:lang w:val="en-IE"/>
        </w:rPr>
        <w:lastRenderedPageBreak/>
        <w:t>INTRODUCTION</w:t>
      </w:r>
      <w:bookmarkEnd w:id="0"/>
      <w:bookmarkEnd w:id="1"/>
      <w:bookmarkEnd w:id="2"/>
      <w:bookmarkEnd w:id="3"/>
      <w:bookmarkEnd w:id="4"/>
      <w:bookmarkEnd w:id="5"/>
    </w:p>
    <w:p w14:paraId="646F9CD5" w14:textId="47809ACF" w:rsidR="00565BB9" w:rsidRPr="009E3C17" w:rsidRDefault="00B43874" w:rsidP="000C2DDA">
      <w:pPr>
        <w:pStyle w:val="ListParagraph"/>
        <w:numPr>
          <w:ilvl w:val="0"/>
          <w:numId w:val="47"/>
        </w:numPr>
        <w:spacing w:after="60"/>
        <w:contextualSpacing w:val="0"/>
        <w:rPr>
          <w:rFonts w:ascii="Arial" w:eastAsia="Arial" w:hAnsi="Arial" w:cs="Times New Roman"/>
          <w:lang w:val="en-IE"/>
        </w:rPr>
      </w:pPr>
      <w:bookmarkStart w:id="6" w:name="_Toc5718102"/>
      <w:bookmarkStart w:id="7" w:name="_Toc5720654"/>
      <w:bookmarkStart w:id="8" w:name="_Toc5718103"/>
      <w:bookmarkStart w:id="9" w:name="_Toc5720655"/>
      <w:bookmarkStart w:id="10" w:name="_Toc5718104"/>
      <w:bookmarkStart w:id="11" w:name="_Toc5720656"/>
      <w:bookmarkStart w:id="12" w:name="_Toc5718105"/>
      <w:bookmarkStart w:id="13" w:name="_Toc5720657"/>
      <w:bookmarkStart w:id="14" w:name="_Toc5718106"/>
      <w:bookmarkStart w:id="15" w:name="_Toc5720658"/>
      <w:bookmarkStart w:id="16" w:name="_Toc5718107"/>
      <w:bookmarkStart w:id="17" w:name="_Toc5720659"/>
      <w:bookmarkStart w:id="18" w:name="_Toc5718108"/>
      <w:bookmarkStart w:id="19" w:name="_Toc5720660"/>
      <w:bookmarkStart w:id="20" w:name="_Toc5718109"/>
      <w:bookmarkStart w:id="21" w:name="_Toc5720661"/>
      <w:bookmarkStart w:id="22" w:name="_Toc5718110"/>
      <w:bookmarkStart w:id="23" w:name="_Toc5720662"/>
      <w:bookmarkStart w:id="24" w:name="_Toc5718111"/>
      <w:bookmarkStart w:id="25" w:name="_Toc5720663"/>
      <w:bookmarkStart w:id="26" w:name="_Ref521670499"/>
      <w:bookmarkStart w:id="27" w:name="_Toc521680391"/>
      <w:bookmarkStart w:id="28" w:name="_Toc367480431"/>
      <w:bookmarkStart w:id="29" w:name="_Ref368659851"/>
      <w:bookmarkStart w:id="30" w:name="_Ref368922566"/>
      <w:bookmarkStart w:id="31" w:name="_Toc37503534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Arial" w:eastAsia="Arial" w:hAnsi="Arial" w:cs="Times New Roman"/>
          <w:lang w:val="en-IE"/>
        </w:rPr>
        <w:tab/>
      </w:r>
      <w:r w:rsidR="00565BB9" w:rsidRPr="009E3C17">
        <w:rPr>
          <w:rFonts w:ascii="Arial" w:eastAsia="Arial" w:hAnsi="Arial" w:cs="Times New Roman"/>
          <w:lang w:val="en-IE"/>
        </w:rPr>
        <w:t>BEREC is required under Article 76 of Directive (EU) 2018/1972</w:t>
      </w:r>
      <w:r w:rsidR="00565BB9" w:rsidRPr="00565BB9">
        <w:rPr>
          <w:vertAlign w:val="superscript"/>
          <w:lang w:val="en-IE"/>
        </w:rPr>
        <w:footnoteReference w:id="2"/>
      </w:r>
      <w:r w:rsidR="00565BB9" w:rsidRPr="009E3C17">
        <w:rPr>
          <w:rFonts w:ascii="Arial" w:eastAsia="Arial" w:hAnsi="Arial" w:cs="Times New Roman"/>
          <w:lang w:val="en-IE"/>
        </w:rPr>
        <w:t xml:space="preserve"> (referred to as the </w:t>
      </w:r>
      <w:r w:rsidR="00565BB9" w:rsidRPr="009E3C17">
        <w:rPr>
          <w:rFonts w:ascii="Arial" w:eastAsia="Arial" w:hAnsi="Arial" w:cs="Arial"/>
          <w:lang w:val="en-IE"/>
        </w:rPr>
        <w:t>European E</w:t>
      </w:r>
      <w:r w:rsidR="001B7388">
        <w:rPr>
          <w:rFonts w:ascii="Arial" w:eastAsia="Arial" w:hAnsi="Arial" w:cs="Arial"/>
          <w:lang w:val="en-IE"/>
        </w:rPr>
        <w:t>lectronic Communications Code – hereafter</w:t>
      </w:r>
      <w:r w:rsidR="00565BB9" w:rsidRPr="009E3C17">
        <w:rPr>
          <w:rFonts w:ascii="Arial" w:eastAsia="Arial" w:hAnsi="Arial" w:cs="Arial"/>
          <w:lang w:val="en-IE"/>
        </w:rPr>
        <w:t xml:space="preserve"> “EECC”) to publish guidelines </w:t>
      </w:r>
      <w:r w:rsidR="00565BB9" w:rsidRPr="009E3C17">
        <w:rPr>
          <w:rFonts w:ascii="Arial" w:eastAsia="Arial" w:hAnsi="Arial" w:cs="Times New Roman"/>
          <w:lang w:val="en-IE"/>
        </w:rPr>
        <w:t>to foster the consistent application by National Regulatory Authorities (NRAs) of the conditions to be met when assessing co-investment offers</w:t>
      </w:r>
      <w:r w:rsidR="004C2FAB">
        <w:rPr>
          <w:rFonts w:ascii="Arial" w:eastAsia="Arial" w:hAnsi="Arial" w:cs="Times New Roman"/>
          <w:lang w:val="en-IE"/>
        </w:rPr>
        <w:t xml:space="preserve"> (paragraph 1 </w:t>
      </w:r>
      <w:r w:rsidR="00BC362E">
        <w:rPr>
          <w:rFonts w:ascii="Arial" w:eastAsia="Arial" w:hAnsi="Arial" w:cs="Times New Roman"/>
          <w:lang w:val="en-IE"/>
        </w:rPr>
        <w:t xml:space="preserve">of Article 76 </w:t>
      </w:r>
      <w:r w:rsidR="004C2FAB">
        <w:rPr>
          <w:rFonts w:ascii="Arial" w:eastAsia="Arial" w:hAnsi="Arial" w:cs="Times New Roman"/>
          <w:lang w:val="en-IE"/>
        </w:rPr>
        <w:t xml:space="preserve">and </w:t>
      </w:r>
      <w:r w:rsidR="00BC362E">
        <w:rPr>
          <w:rFonts w:ascii="Arial" w:eastAsia="Arial" w:hAnsi="Arial" w:cs="Times New Roman"/>
          <w:lang w:val="en-IE"/>
        </w:rPr>
        <w:t>A</w:t>
      </w:r>
      <w:r w:rsidR="004C2FAB">
        <w:rPr>
          <w:rFonts w:ascii="Arial" w:eastAsia="Arial" w:hAnsi="Arial" w:cs="Times New Roman"/>
          <w:lang w:val="en-IE"/>
        </w:rPr>
        <w:t xml:space="preserve">nnex </w:t>
      </w:r>
      <w:r w:rsidR="00BC362E">
        <w:rPr>
          <w:rFonts w:ascii="Arial" w:eastAsia="Arial" w:hAnsi="Arial" w:cs="Times New Roman"/>
          <w:lang w:val="en-IE"/>
        </w:rPr>
        <w:t>IV</w:t>
      </w:r>
      <w:r w:rsidR="004C2FAB">
        <w:rPr>
          <w:rFonts w:ascii="Arial" w:eastAsia="Arial" w:hAnsi="Arial" w:cs="Times New Roman"/>
          <w:lang w:val="en-IE"/>
        </w:rPr>
        <w:t>)</w:t>
      </w:r>
      <w:r w:rsidR="004C2FAB">
        <w:rPr>
          <w:rStyle w:val="FootnoteReference"/>
          <w:rFonts w:ascii="Arial" w:eastAsia="Arial" w:hAnsi="Arial" w:cs="Times New Roman"/>
          <w:lang w:val="en-IE"/>
        </w:rPr>
        <w:footnoteReference w:id="3"/>
      </w:r>
      <w:r w:rsidR="00565BB9" w:rsidRPr="009E3C17">
        <w:rPr>
          <w:rFonts w:ascii="Arial" w:eastAsia="Arial" w:hAnsi="Arial" w:cs="Times New Roman"/>
          <w:lang w:val="en-IE"/>
        </w:rPr>
        <w:t xml:space="preserve">. </w:t>
      </w:r>
    </w:p>
    <w:p w14:paraId="28E07677" w14:textId="6A0A4902" w:rsidR="00565BB9" w:rsidRPr="009E3C17" w:rsidRDefault="00B43874" w:rsidP="000C2DDA">
      <w:pPr>
        <w:pStyle w:val="ListParagraph"/>
        <w:numPr>
          <w:ilvl w:val="0"/>
          <w:numId w:val="47"/>
        </w:numPr>
        <w:spacing w:after="60"/>
        <w:contextualSpacing w:val="0"/>
        <w:rPr>
          <w:rFonts w:ascii="Arial" w:eastAsia="Arial" w:hAnsi="Arial" w:cs="Times New Roman"/>
          <w:lang w:val="en-GB"/>
        </w:rPr>
      </w:pPr>
      <w:r>
        <w:rPr>
          <w:rFonts w:ascii="Arial" w:eastAsia="Arial" w:hAnsi="Arial" w:cs="Times New Roman"/>
          <w:lang w:val="en-IE"/>
        </w:rPr>
        <w:tab/>
      </w:r>
      <w:r w:rsidR="00565BB9" w:rsidRPr="00B43874">
        <w:rPr>
          <w:rFonts w:ascii="Arial" w:eastAsia="Arial" w:hAnsi="Arial" w:cs="Arial"/>
          <w:lang w:val="en-GB"/>
        </w:rPr>
        <w:t>Article</w:t>
      </w:r>
      <w:r w:rsidR="00565BB9" w:rsidRPr="004B0D27">
        <w:rPr>
          <w:rFonts w:ascii="Arial" w:eastAsia="Arial" w:hAnsi="Arial" w:cs="Times New Roman"/>
          <w:lang w:val="en-IE"/>
        </w:rPr>
        <w:t xml:space="preserve"> 76</w:t>
      </w:r>
      <w:r w:rsidR="00565BB9" w:rsidRPr="009E3C17">
        <w:rPr>
          <w:rFonts w:ascii="Arial" w:eastAsia="Arial" w:hAnsi="Arial" w:cs="Times New Roman"/>
          <w:lang w:val="en-GB"/>
        </w:rPr>
        <w:t xml:space="preserve"> of the EECC addresses the regulatory treatment of new very high capacity </w:t>
      </w:r>
      <w:r w:rsidR="00EC4DA9" w:rsidRPr="009E3C17">
        <w:rPr>
          <w:rFonts w:ascii="Arial" w:eastAsia="Arial" w:hAnsi="Arial" w:cs="Times New Roman"/>
          <w:lang w:val="en-GB"/>
        </w:rPr>
        <w:t xml:space="preserve">network </w:t>
      </w:r>
      <w:r w:rsidR="00565BB9" w:rsidRPr="009E3C17">
        <w:rPr>
          <w:rFonts w:ascii="Arial" w:eastAsia="Arial" w:hAnsi="Arial" w:cs="Times New Roman"/>
          <w:lang w:val="en-GB"/>
        </w:rPr>
        <w:t>(VHC</w:t>
      </w:r>
      <w:r w:rsidR="00EC4DA9">
        <w:rPr>
          <w:rFonts w:ascii="Arial" w:eastAsia="Arial" w:hAnsi="Arial" w:cs="Times New Roman"/>
          <w:lang w:val="en-GB"/>
        </w:rPr>
        <w:t>N</w:t>
      </w:r>
      <w:r w:rsidR="00565BB9" w:rsidRPr="009E3C17">
        <w:rPr>
          <w:rFonts w:ascii="Arial" w:eastAsia="Arial" w:hAnsi="Arial" w:cs="Times New Roman"/>
          <w:lang w:val="en-GB"/>
        </w:rPr>
        <w:t xml:space="preserve">) elements. According to this </w:t>
      </w:r>
      <w:r w:rsidR="00FC5377">
        <w:rPr>
          <w:rFonts w:ascii="Arial" w:eastAsia="Arial" w:hAnsi="Arial" w:cs="Times New Roman"/>
          <w:lang w:val="en-GB"/>
        </w:rPr>
        <w:t>A</w:t>
      </w:r>
      <w:r w:rsidR="00565BB9" w:rsidRPr="009E3C17">
        <w:rPr>
          <w:rFonts w:ascii="Arial" w:eastAsia="Arial" w:hAnsi="Arial" w:cs="Times New Roman"/>
          <w:lang w:val="en-GB"/>
        </w:rPr>
        <w:t xml:space="preserve">rticle, undertakings designated as having significant market power (SMP) in one or several relevant markets in accordance with Article 67 of the EECC may offer commitments to open to co-investment the deployment of new </w:t>
      </w:r>
      <w:r w:rsidR="002F08E7" w:rsidRPr="009E3C17">
        <w:rPr>
          <w:rFonts w:ascii="Arial" w:eastAsia="Arial" w:hAnsi="Arial" w:cs="Times New Roman"/>
          <w:lang w:val="en-GB"/>
        </w:rPr>
        <w:t>VHC</w:t>
      </w:r>
      <w:r w:rsidR="002F08E7">
        <w:rPr>
          <w:rFonts w:ascii="Arial" w:eastAsia="Arial" w:hAnsi="Arial" w:cs="Times New Roman"/>
          <w:lang w:val="en-GB"/>
        </w:rPr>
        <w:t>N</w:t>
      </w:r>
      <w:r w:rsidR="00565BB9" w:rsidRPr="009E3C17">
        <w:rPr>
          <w:rFonts w:ascii="Arial" w:eastAsia="Arial" w:hAnsi="Arial" w:cs="Times New Roman"/>
          <w:lang w:val="en-GB"/>
        </w:rPr>
        <w:t xml:space="preserve"> that consist of optical fibre elements up to the end-user premises or base station. Co-investment may take the form of co-ownership or long-term risk sharing through co-financing or through purchase agreements giving rise to specific rights of a structural character by other providers of electronic communications networks and/or services.</w:t>
      </w:r>
      <w:r w:rsidR="001B7388">
        <w:rPr>
          <w:rFonts w:ascii="Arial" w:eastAsia="Arial" w:hAnsi="Arial" w:cs="Times New Roman"/>
          <w:lang w:val="en-GB"/>
        </w:rPr>
        <w:t xml:space="preserve"> </w:t>
      </w:r>
      <w:r w:rsidR="001B7388" w:rsidRPr="001B7388">
        <w:rPr>
          <w:rFonts w:ascii="Arial" w:eastAsia="Arial" w:hAnsi="Arial" w:cs="Times New Roman"/>
          <w:lang w:val="en-GB"/>
        </w:rPr>
        <w:t xml:space="preserve">If the </w:t>
      </w:r>
      <w:r w:rsidR="00EC7840">
        <w:rPr>
          <w:rFonts w:ascii="Arial" w:eastAsia="Arial" w:hAnsi="Arial" w:cs="Times New Roman"/>
          <w:lang w:val="en-GB"/>
        </w:rPr>
        <w:t>NRA</w:t>
      </w:r>
      <w:r w:rsidR="001B7388" w:rsidRPr="001B7388">
        <w:rPr>
          <w:rFonts w:ascii="Arial" w:eastAsia="Arial" w:hAnsi="Arial" w:cs="Times New Roman"/>
          <w:lang w:val="en-GB"/>
        </w:rPr>
        <w:t xml:space="preserve"> concludes</w:t>
      </w:r>
      <w:r w:rsidR="001B7388">
        <w:rPr>
          <w:rFonts w:ascii="Arial" w:eastAsia="Arial" w:hAnsi="Arial" w:cs="Times New Roman"/>
          <w:lang w:val="en-GB"/>
        </w:rPr>
        <w:t xml:space="preserve"> </w:t>
      </w:r>
      <w:r w:rsidR="001B7388" w:rsidRPr="001B7388">
        <w:rPr>
          <w:rFonts w:ascii="Arial" w:eastAsia="Arial" w:hAnsi="Arial" w:cs="Times New Roman"/>
          <w:lang w:val="en-GB"/>
        </w:rPr>
        <w:t xml:space="preserve">that the co-investment commitment offered complies with the conditions set out in paragraph 1 </w:t>
      </w:r>
      <w:r w:rsidR="001B7388">
        <w:rPr>
          <w:rFonts w:ascii="Arial" w:eastAsia="Arial" w:hAnsi="Arial" w:cs="Times New Roman"/>
          <w:lang w:val="en-GB"/>
        </w:rPr>
        <w:t xml:space="preserve">of </w:t>
      </w:r>
      <w:r w:rsidR="001B7388" w:rsidRPr="001B7388">
        <w:rPr>
          <w:rFonts w:ascii="Arial" w:eastAsia="Arial" w:hAnsi="Arial" w:cs="Times New Roman"/>
          <w:lang w:val="en-GB"/>
        </w:rPr>
        <w:t>Article</w:t>
      </w:r>
      <w:r w:rsidR="001B7388">
        <w:rPr>
          <w:rFonts w:ascii="Arial" w:eastAsia="Arial" w:hAnsi="Arial" w:cs="Times New Roman"/>
          <w:lang w:val="en-GB"/>
        </w:rPr>
        <w:t xml:space="preserve"> 76</w:t>
      </w:r>
      <w:r w:rsidR="001B7388" w:rsidRPr="001B7388">
        <w:rPr>
          <w:rFonts w:ascii="Arial" w:eastAsia="Arial" w:hAnsi="Arial" w:cs="Times New Roman"/>
          <w:lang w:val="en-GB"/>
        </w:rPr>
        <w:t xml:space="preserve">, </w:t>
      </w:r>
      <w:r w:rsidR="001B7388">
        <w:rPr>
          <w:rFonts w:ascii="Arial" w:eastAsia="Arial" w:hAnsi="Arial" w:cs="Times New Roman"/>
          <w:lang w:val="en-GB"/>
        </w:rPr>
        <w:t xml:space="preserve">then it </w:t>
      </w:r>
      <w:r w:rsidR="001B7388" w:rsidRPr="001B7388">
        <w:rPr>
          <w:rFonts w:ascii="Arial" w:eastAsia="Arial" w:hAnsi="Arial" w:cs="Times New Roman"/>
          <w:lang w:val="en-GB"/>
        </w:rPr>
        <w:t xml:space="preserve">shall not impose any additional obligations pursuant to Article 68 as regards the elements of the new </w:t>
      </w:r>
      <w:r w:rsidR="00EC7840">
        <w:rPr>
          <w:rFonts w:ascii="Arial" w:eastAsia="Arial" w:hAnsi="Arial" w:cs="Times New Roman"/>
          <w:lang w:val="en-GB"/>
        </w:rPr>
        <w:t>VHCN</w:t>
      </w:r>
      <w:r w:rsidR="001B7388" w:rsidRPr="001B7388">
        <w:rPr>
          <w:rFonts w:ascii="Arial" w:eastAsia="Arial" w:hAnsi="Arial" w:cs="Times New Roman"/>
          <w:lang w:val="en-GB"/>
        </w:rPr>
        <w:t xml:space="preserve"> that are subject to the commitments</w:t>
      </w:r>
      <w:r w:rsidR="001B7388">
        <w:rPr>
          <w:rFonts w:ascii="Arial" w:eastAsia="Arial" w:hAnsi="Arial" w:cs="Times New Roman"/>
          <w:lang w:val="en-GB"/>
        </w:rPr>
        <w:t>.</w:t>
      </w:r>
    </w:p>
    <w:p w14:paraId="462D79F6" w14:textId="70A381D9" w:rsidR="00565BB9" w:rsidRPr="009E3C17" w:rsidRDefault="00B43874" w:rsidP="000C2DDA">
      <w:pPr>
        <w:pStyle w:val="ListParagraph"/>
        <w:numPr>
          <w:ilvl w:val="0"/>
          <w:numId w:val="47"/>
        </w:numPr>
        <w:spacing w:after="60"/>
        <w:contextualSpacing w:val="0"/>
        <w:rPr>
          <w:rFonts w:ascii="Arial" w:eastAsia="Arial" w:hAnsi="Arial" w:cs="Times New Roman"/>
          <w:lang w:val="en-IE"/>
        </w:rPr>
      </w:pPr>
      <w:r>
        <w:rPr>
          <w:rFonts w:ascii="Arial" w:eastAsia="Arial" w:hAnsi="Arial" w:cs="Times New Roman"/>
          <w:lang w:val="en-IE"/>
        </w:rPr>
        <w:tab/>
      </w:r>
      <w:r w:rsidR="00565BB9" w:rsidRPr="00B43874">
        <w:rPr>
          <w:rFonts w:ascii="Arial" w:eastAsia="Arial" w:hAnsi="Arial" w:cs="Arial"/>
          <w:lang w:val="en-GB"/>
        </w:rPr>
        <w:t>The</w:t>
      </w:r>
      <w:r w:rsidR="00565BB9" w:rsidRPr="009E3C17">
        <w:rPr>
          <w:rFonts w:ascii="Arial" w:eastAsia="Arial" w:hAnsi="Arial" w:cs="Times New Roman"/>
          <w:lang w:val="en-IE"/>
        </w:rPr>
        <w:t xml:space="preserve"> rationale for issuing the Guidelines is to contribute to the consistent application by NRAs of the conditions with which co-investment offers must comply when commitments associated with those offers are being assessed by the NRAs in the context of Article 76 of the EECC. </w:t>
      </w:r>
      <w:r w:rsidR="00B470C4">
        <w:rPr>
          <w:rFonts w:ascii="Arial" w:eastAsia="Arial" w:hAnsi="Arial" w:cs="Times New Roman"/>
          <w:lang w:val="en-IE"/>
        </w:rPr>
        <w:t>Therefore</w:t>
      </w:r>
      <w:r w:rsidR="00565BB9" w:rsidRPr="009E3C17">
        <w:rPr>
          <w:rFonts w:ascii="Arial" w:eastAsia="Arial" w:hAnsi="Arial" w:cs="Times New Roman"/>
          <w:lang w:val="en-IE"/>
        </w:rPr>
        <w:t>, the envisaged Guidelines are to facilitate the consistent application of the minimum criteria for assessing the relevant co-investment project, as set out in Article 76</w:t>
      </w:r>
      <w:r w:rsidR="004C2FAB">
        <w:rPr>
          <w:rFonts w:ascii="Arial" w:eastAsia="Arial" w:hAnsi="Arial" w:cs="Times New Roman"/>
          <w:lang w:val="en-IE"/>
        </w:rPr>
        <w:t>, paragraph 1</w:t>
      </w:r>
      <w:r w:rsidR="00565BB9" w:rsidRPr="009E3C17">
        <w:rPr>
          <w:rFonts w:ascii="Arial" w:eastAsia="Arial" w:hAnsi="Arial" w:cs="Times New Roman"/>
          <w:lang w:val="en-IE"/>
        </w:rPr>
        <w:t xml:space="preserve"> and Annex IV of the EECC.</w:t>
      </w:r>
    </w:p>
    <w:p w14:paraId="59ACBE30" w14:textId="1A553720" w:rsidR="0003366C" w:rsidRDefault="00B43874" w:rsidP="000C2DDA">
      <w:pPr>
        <w:pStyle w:val="ListParagraph"/>
        <w:numPr>
          <w:ilvl w:val="0"/>
          <w:numId w:val="47"/>
        </w:numPr>
        <w:spacing w:after="60"/>
        <w:contextualSpacing w:val="0"/>
        <w:rPr>
          <w:rFonts w:ascii="Arial" w:eastAsia="Arial" w:hAnsi="Arial" w:cs="Times New Roman"/>
          <w:lang w:val="en-IE"/>
        </w:rPr>
      </w:pPr>
      <w:r>
        <w:rPr>
          <w:rFonts w:ascii="Arial" w:eastAsia="Arial" w:hAnsi="Arial" w:cs="Times New Roman"/>
          <w:lang w:val="en-IE"/>
        </w:rPr>
        <w:tab/>
      </w:r>
      <w:r w:rsidR="00565BB9" w:rsidRPr="00B43874">
        <w:rPr>
          <w:rFonts w:ascii="Arial" w:eastAsia="Arial" w:hAnsi="Arial" w:cs="Arial"/>
          <w:lang w:val="en-GB"/>
        </w:rPr>
        <w:t>In</w:t>
      </w:r>
      <w:r w:rsidR="00565BB9" w:rsidRPr="009E3C17">
        <w:rPr>
          <w:rFonts w:ascii="Arial" w:eastAsia="Arial" w:hAnsi="Arial" w:cs="Times New Roman"/>
          <w:lang w:val="en-IE"/>
        </w:rPr>
        <w:t xml:space="preserve"> developing the Guidelines, BEREC considered the requirements of Article 76, as well as </w:t>
      </w:r>
      <w:r w:rsidR="00D50B61" w:rsidRPr="009E3C17">
        <w:rPr>
          <w:rFonts w:ascii="Arial" w:eastAsia="Arial" w:hAnsi="Arial" w:cs="Times New Roman"/>
          <w:lang w:val="en-IE"/>
        </w:rPr>
        <w:t>Annex IV and t</w:t>
      </w:r>
      <w:r w:rsidR="00565BB9" w:rsidRPr="009E3C17">
        <w:rPr>
          <w:rFonts w:ascii="Arial" w:eastAsia="Arial" w:hAnsi="Arial" w:cs="Times New Roman"/>
          <w:lang w:val="en-IE"/>
        </w:rPr>
        <w:t xml:space="preserve">he relevant recitals in the EECC that pertain </w:t>
      </w:r>
      <w:r w:rsidR="0003366C" w:rsidRPr="009E3C17">
        <w:rPr>
          <w:rFonts w:ascii="Arial" w:eastAsia="Arial" w:hAnsi="Arial" w:cs="Times New Roman"/>
          <w:lang w:val="en-IE"/>
        </w:rPr>
        <w:t>to co-investment, namely recitals 181</w:t>
      </w:r>
      <w:r w:rsidR="003A2ACD">
        <w:rPr>
          <w:rFonts w:ascii="Arial" w:eastAsia="Arial" w:hAnsi="Arial" w:cs="Times New Roman"/>
          <w:lang w:val="en-IE"/>
        </w:rPr>
        <w:t>,</w:t>
      </w:r>
      <w:r w:rsidR="003A2ACD" w:rsidRPr="009E3C17">
        <w:rPr>
          <w:rFonts w:ascii="Arial" w:eastAsia="Arial" w:hAnsi="Arial" w:cs="Times New Roman"/>
          <w:lang w:val="en-IE"/>
        </w:rPr>
        <w:t xml:space="preserve"> </w:t>
      </w:r>
      <w:r w:rsidR="0003366C" w:rsidRPr="009E3C17">
        <w:rPr>
          <w:rFonts w:ascii="Arial" w:eastAsia="Arial" w:hAnsi="Arial" w:cs="Times New Roman"/>
          <w:lang w:val="en-IE"/>
        </w:rPr>
        <w:t>198</w:t>
      </w:r>
      <w:r w:rsidR="003A2ACD">
        <w:rPr>
          <w:rFonts w:ascii="Arial" w:eastAsia="Arial" w:hAnsi="Arial" w:cs="Times New Roman"/>
          <w:lang w:val="en-IE"/>
        </w:rPr>
        <w:t>,</w:t>
      </w:r>
      <w:r w:rsidR="003A2ACD" w:rsidRPr="009E3C17">
        <w:rPr>
          <w:rFonts w:ascii="Arial" w:eastAsia="Arial" w:hAnsi="Arial" w:cs="Times New Roman"/>
          <w:lang w:val="en-IE"/>
        </w:rPr>
        <w:t xml:space="preserve"> </w:t>
      </w:r>
      <w:r w:rsidR="0003366C" w:rsidRPr="009E3C17">
        <w:rPr>
          <w:rFonts w:ascii="Arial" w:eastAsia="Arial" w:hAnsi="Arial" w:cs="Times New Roman"/>
          <w:lang w:val="en-IE"/>
        </w:rPr>
        <w:t>199</w:t>
      </w:r>
      <w:r w:rsidR="003A2ACD">
        <w:rPr>
          <w:rFonts w:ascii="Arial" w:eastAsia="Arial" w:hAnsi="Arial" w:cs="Times New Roman"/>
          <w:lang w:val="en-IE"/>
        </w:rPr>
        <w:t>,</w:t>
      </w:r>
      <w:r w:rsidR="003A2ACD" w:rsidRPr="009E3C17">
        <w:rPr>
          <w:rFonts w:ascii="Arial" w:eastAsia="Arial" w:hAnsi="Arial" w:cs="Times New Roman"/>
          <w:lang w:val="en-IE"/>
        </w:rPr>
        <w:t xml:space="preserve"> </w:t>
      </w:r>
      <w:r w:rsidR="0003366C" w:rsidRPr="009E3C17">
        <w:rPr>
          <w:rFonts w:ascii="Arial" w:eastAsia="Arial" w:hAnsi="Arial" w:cs="Times New Roman"/>
          <w:lang w:val="en-IE"/>
        </w:rPr>
        <w:t>200 and 201.</w:t>
      </w:r>
      <w:r w:rsidR="009E4633">
        <w:rPr>
          <w:rFonts w:ascii="Arial" w:eastAsia="Arial" w:hAnsi="Arial" w:cs="Times New Roman"/>
          <w:lang w:val="en-IE"/>
        </w:rPr>
        <w:t xml:space="preserve"> </w:t>
      </w:r>
    </w:p>
    <w:p w14:paraId="53091FE3" w14:textId="59E4CA16" w:rsidR="003B0B03" w:rsidRDefault="00B43874" w:rsidP="000C2DDA">
      <w:pPr>
        <w:pStyle w:val="ListParagraph"/>
        <w:numPr>
          <w:ilvl w:val="0"/>
          <w:numId w:val="47"/>
        </w:numPr>
        <w:spacing w:after="60"/>
        <w:contextualSpacing w:val="0"/>
        <w:rPr>
          <w:rFonts w:ascii="Arial" w:eastAsia="Arial" w:hAnsi="Arial" w:cs="Times New Roman"/>
          <w:lang w:val="en-IE"/>
        </w:rPr>
      </w:pPr>
      <w:r>
        <w:rPr>
          <w:rFonts w:ascii="Arial" w:eastAsia="Arial" w:hAnsi="Arial" w:cs="Times New Roman"/>
          <w:lang w:val="en-IE"/>
        </w:rPr>
        <w:tab/>
      </w:r>
      <w:r w:rsidR="003B0B03" w:rsidRPr="00B43874">
        <w:rPr>
          <w:rFonts w:ascii="Arial" w:eastAsia="Arial" w:hAnsi="Arial" w:cs="Arial"/>
          <w:lang w:val="en-GB"/>
        </w:rPr>
        <w:t>Recitals</w:t>
      </w:r>
      <w:r w:rsidR="003B0B03" w:rsidRPr="00C278CC">
        <w:rPr>
          <w:rFonts w:ascii="Arial" w:eastAsia="Arial" w:hAnsi="Arial" w:cs="Times New Roman"/>
          <w:lang w:val="en-IE"/>
        </w:rPr>
        <w:t xml:space="preserve"> 198-201 explain the relevance and benefits of co-investment agreements to facilitate the roll-out of VHCN and the regulatory treatment the </w:t>
      </w:r>
      <w:r w:rsidR="003B0B03">
        <w:rPr>
          <w:rFonts w:ascii="Arial" w:eastAsia="Arial" w:hAnsi="Arial" w:cs="Times New Roman"/>
          <w:lang w:val="en-IE"/>
        </w:rPr>
        <w:t>EECC</w:t>
      </w:r>
      <w:r w:rsidR="003B0B03" w:rsidRPr="00C278CC">
        <w:rPr>
          <w:rFonts w:ascii="Arial" w:eastAsia="Arial" w:hAnsi="Arial" w:cs="Times New Roman"/>
          <w:lang w:val="en-IE"/>
        </w:rPr>
        <w:t xml:space="preserve"> foresees in this regard</w:t>
      </w:r>
      <w:r w:rsidR="003B0B03">
        <w:rPr>
          <w:rFonts w:ascii="Arial" w:eastAsia="Arial" w:hAnsi="Arial" w:cs="Times New Roman"/>
          <w:lang w:val="en-IE"/>
        </w:rPr>
        <w:t>. T</w:t>
      </w:r>
      <w:r w:rsidR="003B0B03" w:rsidRPr="004846BD">
        <w:rPr>
          <w:rFonts w:ascii="Arial" w:eastAsia="Arial" w:hAnsi="Arial" w:cs="Times New Roman"/>
          <w:lang w:val="en-IE"/>
        </w:rPr>
        <w:t xml:space="preserve">he criteria set out in Annex IV are </w:t>
      </w:r>
      <w:r w:rsidR="003B0B03" w:rsidRPr="00CF3040">
        <w:rPr>
          <w:rFonts w:ascii="Arial" w:eastAsia="Arial" w:hAnsi="Arial" w:cs="Times New Roman"/>
          <w:lang w:val="en-IE"/>
        </w:rPr>
        <w:t>also</w:t>
      </w:r>
      <w:r w:rsidR="003B0B03">
        <w:rPr>
          <w:rFonts w:ascii="Arial" w:eastAsia="Arial" w:hAnsi="Arial" w:cs="Times New Roman"/>
          <w:lang w:val="en-IE"/>
        </w:rPr>
        <w:t xml:space="preserve"> </w:t>
      </w:r>
      <w:r w:rsidR="003B0B03" w:rsidRPr="004846BD">
        <w:rPr>
          <w:rFonts w:ascii="Arial" w:eastAsia="Arial" w:hAnsi="Arial" w:cs="Times New Roman"/>
          <w:lang w:val="en-IE"/>
        </w:rPr>
        <w:t>an integral part of the conditions (a) through (d) of Article 76</w:t>
      </w:r>
      <w:r w:rsidR="003B0B03">
        <w:rPr>
          <w:rFonts w:ascii="Arial" w:eastAsia="Arial" w:hAnsi="Arial" w:cs="Times New Roman"/>
          <w:lang w:val="en-IE"/>
        </w:rPr>
        <w:t xml:space="preserve">. </w:t>
      </w:r>
      <w:r w:rsidR="003B0B03" w:rsidRPr="00CF3040">
        <w:rPr>
          <w:rFonts w:ascii="Arial" w:eastAsia="Arial" w:hAnsi="Arial" w:cs="Times New Roman"/>
          <w:lang w:val="en-IE"/>
        </w:rPr>
        <w:t xml:space="preserve">Both </w:t>
      </w:r>
      <w:r w:rsidR="003B0B03" w:rsidRPr="004846BD">
        <w:rPr>
          <w:rFonts w:ascii="Arial" w:eastAsia="Arial" w:hAnsi="Arial" w:cs="Times New Roman"/>
          <w:lang w:val="en-IE"/>
        </w:rPr>
        <w:t xml:space="preserve">have been </w:t>
      </w:r>
      <w:r w:rsidR="003B0B03" w:rsidRPr="00CF3040">
        <w:rPr>
          <w:rFonts w:ascii="Arial" w:eastAsia="Arial" w:hAnsi="Arial" w:cs="Times New Roman"/>
          <w:lang w:val="en-IE"/>
        </w:rPr>
        <w:t>therefore</w:t>
      </w:r>
      <w:r w:rsidR="003B0B03">
        <w:rPr>
          <w:rFonts w:ascii="Arial" w:eastAsia="Arial" w:hAnsi="Arial" w:cs="Times New Roman"/>
          <w:lang w:val="en-IE"/>
        </w:rPr>
        <w:t xml:space="preserve"> </w:t>
      </w:r>
      <w:r w:rsidR="003B0B03" w:rsidRPr="00CF3040">
        <w:rPr>
          <w:rFonts w:ascii="Arial" w:eastAsia="Arial" w:hAnsi="Arial" w:cs="Times New Roman"/>
          <w:lang w:val="en-IE"/>
        </w:rPr>
        <w:t>taken into account</w:t>
      </w:r>
      <w:r w:rsidR="003B0B03">
        <w:rPr>
          <w:rFonts w:ascii="Arial" w:eastAsia="Arial" w:hAnsi="Arial" w:cs="Times New Roman"/>
          <w:lang w:val="en-IE"/>
        </w:rPr>
        <w:t xml:space="preserve"> </w:t>
      </w:r>
      <w:r w:rsidR="003B0B03" w:rsidRPr="004846BD">
        <w:rPr>
          <w:rFonts w:ascii="Arial" w:eastAsia="Arial" w:hAnsi="Arial" w:cs="Times New Roman"/>
          <w:lang w:val="en-IE"/>
        </w:rPr>
        <w:t xml:space="preserve">in the assessment of </w:t>
      </w:r>
      <w:r w:rsidR="003B0B03">
        <w:rPr>
          <w:rFonts w:ascii="Arial" w:eastAsia="Arial" w:hAnsi="Arial" w:cs="Times New Roman"/>
          <w:lang w:val="en-IE"/>
        </w:rPr>
        <w:t xml:space="preserve">such </w:t>
      </w:r>
      <w:r w:rsidR="003B0B03" w:rsidRPr="00CF3040">
        <w:rPr>
          <w:rFonts w:ascii="Arial" w:eastAsia="Arial" w:hAnsi="Arial" w:cs="Times New Roman"/>
          <w:lang w:val="en-IE"/>
        </w:rPr>
        <w:t>these</w:t>
      </w:r>
      <w:r w:rsidR="003B0B03" w:rsidRPr="004846BD">
        <w:rPr>
          <w:rFonts w:ascii="Arial" w:eastAsia="Arial" w:hAnsi="Arial" w:cs="Times New Roman"/>
          <w:lang w:val="en-IE"/>
        </w:rPr>
        <w:t xml:space="preserve"> conditions </w:t>
      </w:r>
      <w:r w:rsidR="003B0B03" w:rsidRPr="00CF3040">
        <w:rPr>
          <w:rFonts w:ascii="Arial" w:eastAsia="Arial" w:hAnsi="Arial" w:cs="Times New Roman"/>
          <w:lang w:val="en-IE"/>
        </w:rPr>
        <w:t>in order to produce the Guidelines</w:t>
      </w:r>
      <w:r w:rsidR="003B0B03" w:rsidRPr="004846BD">
        <w:rPr>
          <w:rFonts w:ascii="Arial" w:eastAsia="Arial" w:hAnsi="Arial" w:cs="Times New Roman"/>
          <w:lang w:val="en-IE"/>
        </w:rPr>
        <w:t>.</w:t>
      </w:r>
    </w:p>
    <w:p w14:paraId="20192940" w14:textId="3EF5ACA2" w:rsidR="008411E4" w:rsidRPr="00C278CC" w:rsidRDefault="00B43874" w:rsidP="000C2DDA">
      <w:pPr>
        <w:pStyle w:val="ListParagraph"/>
        <w:numPr>
          <w:ilvl w:val="0"/>
          <w:numId w:val="47"/>
        </w:numPr>
        <w:spacing w:after="60"/>
        <w:contextualSpacing w:val="0"/>
        <w:rPr>
          <w:rFonts w:ascii="Arial" w:eastAsia="Arial" w:hAnsi="Arial" w:cs="Times New Roman"/>
          <w:lang w:val="en-IE"/>
        </w:rPr>
      </w:pPr>
      <w:r>
        <w:rPr>
          <w:rFonts w:ascii="Arial" w:eastAsia="Arial" w:hAnsi="Arial" w:cs="Times New Roman"/>
          <w:lang w:val="en-IE"/>
        </w:rPr>
        <w:tab/>
      </w:r>
      <w:r w:rsidR="0032266C" w:rsidRPr="00B43874">
        <w:rPr>
          <w:rFonts w:ascii="Arial" w:eastAsia="Arial" w:hAnsi="Arial" w:cs="Arial"/>
          <w:lang w:val="en-GB"/>
        </w:rPr>
        <w:t>The</w:t>
      </w:r>
      <w:r w:rsidR="0032266C" w:rsidRPr="003B0B03">
        <w:rPr>
          <w:rFonts w:ascii="Arial" w:eastAsia="Arial" w:hAnsi="Arial" w:cs="Times New Roman"/>
          <w:lang w:val="en-IE"/>
        </w:rPr>
        <w:t xml:space="preserve"> </w:t>
      </w:r>
      <w:r w:rsidR="0032266C" w:rsidRPr="006736F8">
        <w:rPr>
          <w:rFonts w:ascii="Arial" w:eastAsia="Arial" w:hAnsi="Arial" w:cs="Times New Roman"/>
          <w:lang w:val="en-IE"/>
        </w:rPr>
        <w:t>present guidelines are organised following the epigraphs in the regulation (</w:t>
      </w:r>
      <w:r w:rsidR="00FF487B" w:rsidRPr="006736F8">
        <w:rPr>
          <w:rFonts w:ascii="Arial" w:eastAsia="Arial" w:hAnsi="Arial" w:cs="Times New Roman"/>
          <w:lang w:val="en-IE"/>
        </w:rPr>
        <w:t>Article</w:t>
      </w:r>
      <w:r w:rsidR="0032266C" w:rsidRPr="006736F8">
        <w:rPr>
          <w:rFonts w:ascii="Arial" w:eastAsia="Arial" w:hAnsi="Arial" w:cs="Times New Roman"/>
          <w:lang w:val="en-IE"/>
        </w:rPr>
        <w:t xml:space="preserve"> 76, paragraph 1), showing in grey boxes the relevant text in the </w:t>
      </w:r>
      <w:r w:rsidR="00E84062" w:rsidRPr="00F824DD">
        <w:rPr>
          <w:rFonts w:ascii="Arial" w:eastAsia="Arial" w:hAnsi="Arial" w:cs="Times New Roman"/>
          <w:lang w:val="en-IE"/>
        </w:rPr>
        <w:t>EECC</w:t>
      </w:r>
      <w:r w:rsidR="0032266C" w:rsidRPr="00F824DD">
        <w:rPr>
          <w:rFonts w:ascii="Arial" w:eastAsia="Arial" w:hAnsi="Arial" w:cs="Times New Roman"/>
          <w:lang w:val="en-IE"/>
        </w:rPr>
        <w:t xml:space="preserve"> and providing clarifications below each box</w:t>
      </w:r>
      <w:r w:rsidR="00323360" w:rsidRPr="00F824DD">
        <w:rPr>
          <w:rFonts w:ascii="Arial" w:eastAsia="Arial" w:hAnsi="Arial" w:cs="Times New Roman"/>
          <w:lang w:val="en-IE"/>
        </w:rPr>
        <w:t xml:space="preserve">. </w:t>
      </w:r>
      <w:r w:rsidR="006D21E9">
        <w:rPr>
          <w:rFonts w:ascii="Arial" w:eastAsia="Arial" w:hAnsi="Arial" w:cs="Times New Roman"/>
          <w:lang w:val="en-IE"/>
        </w:rPr>
        <w:t xml:space="preserve">Literal text from the </w:t>
      </w:r>
      <w:r w:rsidR="00E84062">
        <w:rPr>
          <w:rFonts w:ascii="Arial" w:eastAsia="Arial" w:hAnsi="Arial" w:cs="Times New Roman"/>
          <w:lang w:val="en-IE"/>
        </w:rPr>
        <w:t>EECC</w:t>
      </w:r>
      <w:r w:rsidR="006D21E9">
        <w:rPr>
          <w:rFonts w:ascii="Arial" w:eastAsia="Arial" w:hAnsi="Arial" w:cs="Times New Roman"/>
          <w:lang w:val="en-IE"/>
        </w:rPr>
        <w:t xml:space="preserve"> </w:t>
      </w:r>
      <w:r w:rsidR="00E03995">
        <w:rPr>
          <w:rFonts w:ascii="Arial" w:eastAsia="Arial" w:hAnsi="Arial" w:cs="Times New Roman"/>
          <w:lang w:val="en-IE"/>
        </w:rPr>
        <w:t xml:space="preserve">is </w:t>
      </w:r>
      <w:r w:rsidR="006D21E9">
        <w:rPr>
          <w:rFonts w:ascii="Arial" w:eastAsia="Arial" w:hAnsi="Arial" w:cs="Times New Roman"/>
          <w:lang w:val="en-IE"/>
        </w:rPr>
        <w:t xml:space="preserve">always in </w:t>
      </w:r>
      <w:r w:rsidR="006D21E9" w:rsidRPr="00C278CC">
        <w:rPr>
          <w:rFonts w:ascii="Arial" w:eastAsia="Arial" w:hAnsi="Arial" w:cs="Times New Roman"/>
          <w:i/>
          <w:iCs/>
          <w:lang w:val="en-IE"/>
        </w:rPr>
        <w:t>italics</w:t>
      </w:r>
      <w:r w:rsidR="006D21E9">
        <w:rPr>
          <w:rFonts w:ascii="Arial" w:eastAsia="Arial" w:hAnsi="Arial" w:cs="Times New Roman"/>
          <w:lang w:val="en-IE"/>
        </w:rPr>
        <w:t xml:space="preserve">. </w:t>
      </w:r>
    </w:p>
    <w:p w14:paraId="0050314E" w14:textId="77777777" w:rsidR="00565BB9" w:rsidRPr="00565BB9" w:rsidRDefault="00565BB9" w:rsidP="00565BB9">
      <w:pPr>
        <w:keepNext/>
        <w:keepLines/>
        <w:numPr>
          <w:ilvl w:val="0"/>
          <w:numId w:val="22"/>
        </w:numPr>
        <w:spacing w:before="480" w:after="120"/>
        <w:outlineLvl w:val="0"/>
        <w:rPr>
          <w:rFonts w:ascii="Arial" w:eastAsia="Times New Roman" w:hAnsi="Arial" w:cs="Times New Roman"/>
          <w:b/>
          <w:bCs/>
          <w:color w:val="000000"/>
          <w:sz w:val="32"/>
          <w:szCs w:val="28"/>
          <w:lang w:val="en-IE"/>
        </w:rPr>
      </w:pPr>
      <w:bookmarkStart w:id="32" w:name="_Toc24096914"/>
      <w:bookmarkStart w:id="33" w:name="_Toc31190813"/>
      <w:bookmarkStart w:id="34" w:name="_Toc24112026"/>
      <w:bookmarkStart w:id="35" w:name="_Toc36030358"/>
      <w:bookmarkStart w:id="36" w:name="_Toc38464068"/>
      <w:bookmarkEnd w:id="26"/>
      <w:bookmarkEnd w:id="27"/>
      <w:r w:rsidRPr="00565BB9">
        <w:rPr>
          <w:rFonts w:ascii="Arial" w:eastAsia="Times New Roman" w:hAnsi="Arial" w:cs="Times New Roman"/>
          <w:b/>
          <w:bCs/>
          <w:color w:val="000000"/>
          <w:sz w:val="32"/>
          <w:szCs w:val="28"/>
          <w:lang w:val="en-IE"/>
        </w:rPr>
        <w:lastRenderedPageBreak/>
        <w:t>GENERAL ISSUES AND TERMINOLOGY</w:t>
      </w:r>
      <w:bookmarkEnd w:id="32"/>
      <w:bookmarkEnd w:id="33"/>
      <w:bookmarkEnd w:id="34"/>
      <w:bookmarkEnd w:id="35"/>
      <w:r w:rsidRPr="00565BB9">
        <w:rPr>
          <w:rFonts w:ascii="Arial" w:eastAsia="Times New Roman" w:hAnsi="Arial" w:cs="Times New Roman"/>
          <w:b/>
          <w:bCs/>
          <w:color w:val="000000"/>
          <w:sz w:val="32"/>
          <w:szCs w:val="28"/>
          <w:lang w:val="en-IE"/>
        </w:rPr>
        <w:t xml:space="preserve"> </w:t>
      </w:r>
      <w:bookmarkStart w:id="37" w:name="_Toc36816349"/>
      <w:r w:rsidR="004C2FAB">
        <w:rPr>
          <w:rFonts w:ascii="Arial" w:eastAsia="Times New Roman" w:hAnsi="Arial" w:cs="Times New Roman"/>
          <w:b/>
          <w:bCs/>
          <w:color w:val="000000"/>
          <w:sz w:val="32"/>
          <w:szCs w:val="28"/>
          <w:lang w:val="en-IE"/>
        </w:rPr>
        <w:t>INPUT FROM STAKEHOLDERS</w:t>
      </w:r>
      <w:bookmarkEnd w:id="36"/>
      <w:bookmarkEnd w:id="37"/>
    </w:p>
    <w:p w14:paraId="1F802187" w14:textId="70A4BC28" w:rsidR="00D03C31" w:rsidRPr="0044748A" w:rsidRDefault="00B43874" w:rsidP="000C2DDA">
      <w:pPr>
        <w:pStyle w:val="ListParagraph"/>
        <w:numPr>
          <w:ilvl w:val="0"/>
          <w:numId w:val="47"/>
        </w:numPr>
        <w:spacing w:after="60"/>
        <w:contextualSpacing w:val="0"/>
        <w:rPr>
          <w:rFonts w:ascii="Arial" w:eastAsia="Arial" w:hAnsi="Arial" w:cs="Arial"/>
          <w:lang w:val="en-GB"/>
        </w:rPr>
      </w:pPr>
      <w:bookmarkStart w:id="38" w:name="_Hlk36811372"/>
      <w:r>
        <w:rPr>
          <w:rFonts w:ascii="Arial" w:eastAsia="Arial" w:hAnsi="Arial" w:cs="Times New Roman"/>
          <w:lang w:val="en-IE"/>
        </w:rPr>
        <w:tab/>
      </w:r>
      <w:r w:rsidR="00D03C31" w:rsidRPr="0044748A">
        <w:rPr>
          <w:rFonts w:ascii="Arial" w:eastAsia="Arial" w:hAnsi="Arial" w:cs="Arial"/>
          <w:lang w:val="en-GB"/>
        </w:rPr>
        <w:t>BEREC would like to thank stakeholders</w:t>
      </w:r>
      <w:r w:rsidR="00E03995" w:rsidRPr="0044748A">
        <w:rPr>
          <w:rFonts w:ascii="Arial" w:eastAsia="Arial" w:hAnsi="Arial" w:cs="Arial"/>
          <w:lang w:val="en-GB"/>
        </w:rPr>
        <w:t>’</w:t>
      </w:r>
      <w:r w:rsidR="00D03C31" w:rsidRPr="0044748A">
        <w:rPr>
          <w:rFonts w:ascii="Arial" w:eastAsia="Arial" w:hAnsi="Arial" w:cs="Arial"/>
          <w:lang w:val="en-GB"/>
        </w:rPr>
        <w:t xml:space="preserve"> associations for the valuable input obtained in the workshops that took place in the process of preparation of the present guidelines. </w:t>
      </w:r>
    </w:p>
    <w:bookmarkEnd w:id="38"/>
    <w:p w14:paraId="1193079F" w14:textId="7A0DD0A7" w:rsidR="00D03C31" w:rsidRPr="00076B93" w:rsidRDefault="00B43874" w:rsidP="000C2DDA">
      <w:pPr>
        <w:pStyle w:val="ListParagraph"/>
        <w:numPr>
          <w:ilvl w:val="0"/>
          <w:numId w:val="47"/>
        </w:numPr>
        <w:spacing w:after="60"/>
        <w:contextualSpacing w:val="0"/>
        <w:rPr>
          <w:rFonts w:ascii="Arial" w:eastAsia="Arial" w:hAnsi="Arial" w:cs="Arial"/>
          <w:lang w:val="en-GB"/>
        </w:rPr>
      </w:pPr>
      <w:r>
        <w:rPr>
          <w:rFonts w:ascii="Arial" w:eastAsia="Arial" w:hAnsi="Arial" w:cs="Times New Roman"/>
          <w:lang w:val="en-IE"/>
        </w:rPr>
        <w:tab/>
      </w:r>
      <w:r w:rsidR="00D03C31" w:rsidRPr="00076B93">
        <w:rPr>
          <w:rFonts w:ascii="Arial" w:eastAsia="Arial" w:hAnsi="Arial" w:cs="Arial"/>
          <w:lang w:val="en-GB"/>
        </w:rPr>
        <w:t>The first preparatory workshop took place on 7th</w:t>
      </w:r>
      <w:r w:rsidR="00E03995" w:rsidRPr="00076B93">
        <w:rPr>
          <w:rFonts w:ascii="Arial" w:eastAsia="Arial" w:hAnsi="Arial" w:cs="Arial"/>
          <w:lang w:val="en-GB"/>
        </w:rPr>
        <w:t xml:space="preserve"> </w:t>
      </w:r>
      <w:r w:rsidR="00D03C31" w:rsidRPr="00076B93">
        <w:rPr>
          <w:rFonts w:ascii="Arial" w:eastAsia="Arial" w:hAnsi="Arial" w:cs="Arial"/>
          <w:lang w:val="en-GB"/>
        </w:rPr>
        <w:t>March, 2019</w:t>
      </w:r>
      <w:r w:rsidR="00D03C31" w:rsidRPr="00076B93">
        <w:rPr>
          <w:rFonts w:ascii="Arial" w:eastAsia="Arial" w:hAnsi="Arial" w:cs="Arial"/>
          <w:lang w:val="en-GB"/>
        </w:rPr>
        <w:footnoteReference w:id="4"/>
      </w:r>
      <w:r w:rsidR="00D03C31" w:rsidRPr="00076B93">
        <w:rPr>
          <w:rFonts w:ascii="Arial" w:eastAsia="Arial" w:hAnsi="Arial" w:cs="Arial"/>
          <w:lang w:val="en-GB"/>
        </w:rPr>
        <w:t xml:space="preserve"> with the objective of collecting views on the main topics that stakeholders considered that should be addressed in the present guidelines. Once the discussion in BEREC was more advanced, a second workshop took also place</w:t>
      </w:r>
      <w:r w:rsidR="0032266C" w:rsidRPr="00076B93">
        <w:rPr>
          <w:rFonts w:ascii="Arial" w:eastAsia="Arial" w:hAnsi="Arial" w:cs="Arial"/>
          <w:lang w:val="en-GB"/>
        </w:rPr>
        <w:t xml:space="preserve"> on </w:t>
      </w:r>
      <w:r w:rsidR="00E03995" w:rsidRPr="00076B93">
        <w:rPr>
          <w:rFonts w:ascii="Arial" w:eastAsia="Arial" w:hAnsi="Arial" w:cs="Arial"/>
          <w:lang w:val="en-GB"/>
        </w:rPr>
        <w:t xml:space="preserve">31st </w:t>
      </w:r>
      <w:r w:rsidR="0032266C" w:rsidRPr="00076B93">
        <w:rPr>
          <w:rFonts w:ascii="Arial" w:eastAsia="Arial" w:hAnsi="Arial" w:cs="Arial"/>
          <w:lang w:val="en-GB"/>
        </w:rPr>
        <w:t>January 2020</w:t>
      </w:r>
      <w:r w:rsidR="009B3930" w:rsidRPr="00076B93">
        <w:rPr>
          <w:rFonts w:ascii="Arial" w:eastAsia="Arial" w:hAnsi="Arial" w:cs="Arial"/>
          <w:lang w:val="en-GB"/>
        </w:rPr>
        <w:footnoteReference w:id="5"/>
      </w:r>
      <w:r w:rsidR="0032266C" w:rsidRPr="00076B93">
        <w:rPr>
          <w:rFonts w:ascii="Arial" w:eastAsia="Arial" w:hAnsi="Arial" w:cs="Arial"/>
          <w:lang w:val="en-GB"/>
        </w:rPr>
        <w:t xml:space="preserve"> with the aim of gathering </w:t>
      </w:r>
      <w:r w:rsidR="00561233" w:rsidRPr="00076B93">
        <w:rPr>
          <w:rFonts w:ascii="Arial" w:eastAsia="Arial" w:hAnsi="Arial" w:cs="Arial"/>
          <w:lang w:val="en-GB"/>
        </w:rPr>
        <w:t xml:space="preserve">their views on how NRAs should interpret the provisions contained in the </w:t>
      </w:r>
      <w:r w:rsidR="00E84062" w:rsidRPr="00076B93">
        <w:rPr>
          <w:rFonts w:ascii="Arial" w:eastAsia="Arial" w:hAnsi="Arial" w:cs="Arial"/>
          <w:lang w:val="en-GB"/>
        </w:rPr>
        <w:t>EECC</w:t>
      </w:r>
      <w:r w:rsidR="00561233" w:rsidRPr="00076B93">
        <w:rPr>
          <w:rFonts w:ascii="Arial" w:eastAsia="Arial" w:hAnsi="Arial" w:cs="Arial"/>
          <w:lang w:val="en-GB"/>
        </w:rPr>
        <w:t xml:space="preserve"> when assessing co-investment agreements</w:t>
      </w:r>
      <w:r w:rsidR="0032266C" w:rsidRPr="00076B93">
        <w:rPr>
          <w:rFonts w:ascii="Arial" w:eastAsia="Arial" w:hAnsi="Arial" w:cs="Arial"/>
          <w:lang w:val="en-GB"/>
        </w:rPr>
        <w:t xml:space="preserve">. </w:t>
      </w:r>
    </w:p>
    <w:p w14:paraId="50981CE0" w14:textId="78739DF3" w:rsidR="00702424" w:rsidRPr="002510B0" w:rsidRDefault="00B43874" w:rsidP="000C2DDA">
      <w:pPr>
        <w:pStyle w:val="ListParagraph"/>
        <w:numPr>
          <w:ilvl w:val="0"/>
          <w:numId w:val="47"/>
        </w:numPr>
        <w:spacing w:after="60"/>
        <w:contextualSpacing w:val="0"/>
        <w:rPr>
          <w:rFonts w:ascii="Arial" w:eastAsia="Arial" w:hAnsi="Arial" w:cs="Arial"/>
          <w:lang w:val="en-GB"/>
        </w:rPr>
      </w:pPr>
      <w:r>
        <w:rPr>
          <w:rFonts w:ascii="Arial" w:eastAsia="Arial" w:hAnsi="Arial" w:cs="Times New Roman"/>
          <w:lang w:val="en-IE"/>
        </w:rPr>
        <w:tab/>
      </w:r>
      <w:r w:rsidR="0032266C" w:rsidRPr="002510B0">
        <w:rPr>
          <w:rFonts w:ascii="Arial" w:eastAsia="Arial" w:hAnsi="Arial" w:cs="Arial"/>
          <w:lang w:val="en-GB"/>
        </w:rPr>
        <w:t>The present draft guidelines are opened</w:t>
      </w:r>
      <w:r w:rsidR="009A3720">
        <w:rPr>
          <w:rFonts w:ascii="Arial" w:eastAsia="Arial" w:hAnsi="Arial" w:cs="Arial"/>
          <w:lang w:val="en-GB"/>
        </w:rPr>
        <w:t xml:space="preserve"> for public consultation from 16</w:t>
      </w:r>
      <w:r w:rsidR="0032266C" w:rsidRPr="0044748A">
        <w:rPr>
          <w:rFonts w:ascii="Arial" w:eastAsia="Arial" w:hAnsi="Arial" w:cs="Arial"/>
          <w:lang w:val="en-GB"/>
        </w:rPr>
        <w:t>th</w:t>
      </w:r>
      <w:r w:rsidR="007E410C">
        <w:rPr>
          <w:rFonts w:ascii="Arial" w:eastAsia="Arial" w:hAnsi="Arial" w:cs="Arial"/>
          <w:lang w:val="en-GB"/>
        </w:rPr>
        <w:t xml:space="preserve"> </w:t>
      </w:r>
      <w:r w:rsidR="0032266C" w:rsidRPr="002510B0">
        <w:rPr>
          <w:rFonts w:ascii="Arial" w:eastAsia="Arial" w:hAnsi="Arial" w:cs="Arial"/>
          <w:lang w:val="en-GB"/>
        </w:rPr>
        <w:t xml:space="preserve">June 2020 to </w:t>
      </w:r>
      <w:r w:rsidR="00E03995" w:rsidRPr="002510B0">
        <w:rPr>
          <w:rFonts w:ascii="Arial" w:eastAsia="Arial" w:hAnsi="Arial" w:cs="Arial"/>
          <w:lang w:val="en-GB"/>
        </w:rPr>
        <w:t>4</w:t>
      </w:r>
      <w:r w:rsidR="007E410C" w:rsidRPr="0044748A">
        <w:rPr>
          <w:rFonts w:ascii="Arial" w:eastAsia="Arial" w:hAnsi="Arial" w:cs="Arial"/>
          <w:lang w:val="en-GB"/>
        </w:rPr>
        <w:t>th</w:t>
      </w:r>
      <w:r w:rsidR="007E410C">
        <w:rPr>
          <w:rFonts w:ascii="Arial" w:eastAsia="Arial" w:hAnsi="Arial" w:cs="Arial"/>
          <w:lang w:val="en-GB"/>
        </w:rPr>
        <w:t xml:space="preserve"> </w:t>
      </w:r>
      <w:r w:rsidR="00E03995" w:rsidRPr="002510B0">
        <w:rPr>
          <w:rFonts w:ascii="Arial" w:eastAsia="Arial" w:hAnsi="Arial" w:cs="Arial"/>
          <w:lang w:val="en-GB"/>
        </w:rPr>
        <w:t>September</w:t>
      </w:r>
      <w:r w:rsidR="0032266C" w:rsidRPr="002510B0">
        <w:rPr>
          <w:rFonts w:ascii="Arial" w:eastAsia="Arial" w:hAnsi="Arial" w:cs="Arial"/>
          <w:lang w:val="en-GB"/>
        </w:rPr>
        <w:t xml:space="preserve"> 2020. </w:t>
      </w:r>
      <w:r w:rsidR="00702424" w:rsidRPr="002510B0">
        <w:rPr>
          <w:rFonts w:ascii="Arial" w:eastAsia="Arial" w:hAnsi="Arial" w:cs="Arial"/>
          <w:lang w:val="en-GB"/>
        </w:rPr>
        <w:t xml:space="preserve">All stakeholders are invited to submit their inputs on the draft Guidelines </w:t>
      </w:r>
      <w:r w:rsidR="00B4356D">
        <w:rPr>
          <w:rFonts w:ascii="Arial" w:eastAsia="Arial" w:hAnsi="Arial" w:cs="Arial"/>
          <w:lang w:val="en-GB"/>
        </w:rPr>
        <w:t>to</w:t>
      </w:r>
      <w:r w:rsidR="001C2B4C">
        <w:rPr>
          <w:rFonts w:ascii="Arial" w:eastAsia="Arial" w:hAnsi="Arial" w:cs="Arial"/>
          <w:lang w:val="en-GB"/>
        </w:rPr>
        <w:t xml:space="preserve"> </w:t>
      </w:r>
      <w:hyperlink r:id="rId11" w:history="1">
        <w:r w:rsidR="00EE1D2B" w:rsidRPr="00201FF3">
          <w:rPr>
            <w:rFonts w:ascii="Arial" w:eastAsia="Arial" w:hAnsi="Arial" w:cs="Arial"/>
            <w:color w:val="2E74B5" w:themeColor="accent1" w:themeShade="BF"/>
            <w:u w:val="single"/>
            <w:lang w:val="en-GB"/>
          </w:rPr>
          <w:t>Art76EECC_Guidelines@berec.europa.eu</w:t>
        </w:r>
      </w:hyperlink>
      <w:r w:rsidR="001C2B4C">
        <w:rPr>
          <w:rFonts w:ascii="Arial" w:eastAsia="Arial" w:hAnsi="Arial" w:cs="Arial"/>
          <w:lang w:val="en-GB"/>
        </w:rPr>
        <w:t>.</w:t>
      </w:r>
      <w:r w:rsidR="00702424" w:rsidRPr="00943503">
        <w:rPr>
          <w:rFonts w:ascii="Arial" w:eastAsia="Arial" w:hAnsi="Arial" w:cs="Arial"/>
          <w:lang w:val="en-GB"/>
        </w:rPr>
        <w:t xml:space="preserve"> Cont</w:t>
      </w:r>
      <w:r w:rsidR="00702424" w:rsidRPr="002510B0">
        <w:rPr>
          <w:rFonts w:ascii="Arial" w:eastAsia="Arial" w:hAnsi="Arial" w:cs="Arial"/>
          <w:lang w:val="en-GB"/>
        </w:rPr>
        <w:t>ributions should preferably be submitted in English and include reference to relevant paragraphs or sections of the Guidelines in order to facilitate their processing.</w:t>
      </w:r>
    </w:p>
    <w:p w14:paraId="7698AD77" w14:textId="6CE77291" w:rsidR="00561233" w:rsidRPr="00C278CC" w:rsidRDefault="00702424" w:rsidP="00B43874">
      <w:pPr>
        <w:pStyle w:val="ListParagraph"/>
        <w:numPr>
          <w:ilvl w:val="0"/>
          <w:numId w:val="47"/>
        </w:numPr>
        <w:rPr>
          <w:rFonts w:ascii="Arial" w:eastAsia="Arial" w:hAnsi="Arial" w:cs="Arial"/>
          <w:color w:val="211D1E"/>
          <w:lang w:val="en-IE"/>
        </w:rPr>
      </w:pPr>
      <w:r w:rsidRPr="00DE2901">
        <w:rPr>
          <w:rFonts w:ascii="Arial" w:eastAsia="Arial" w:hAnsi="Arial" w:cs="Arial"/>
          <w:lang w:val="en-GB"/>
        </w:rPr>
        <w:t>In</w:t>
      </w:r>
      <w:r w:rsidRPr="00702424">
        <w:rPr>
          <w:rFonts w:ascii="Arial" w:eastAsia="Arial" w:hAnsi="Arial" w:cs="Arial"/>
          <w:color w:val="211D1E"/>
          <w:lang w:val="en-IE"/>
        </w:rPr>
        <w:t xml:space="preserve"> accordance with the BEREC policy on public consultations, BEREC will publish a summary of all contributions received. All contributions will be published on the BEREC website, taking into account requests for confidentiality. Any such requests should clearly indicate which information is considered</w:t>
      </w:r>
      <w:r w:rsidR="007E410C">
        <w:rPr>
          <w:rFonts w:ascii="Arial" w:eastAsia="Arial" w:hAnsi="Arial" w:cs="Arial"/>
          <w:color w:val="211D1E"/>
          <w:lang w:val="en-IE"/>
        </w:rPr>
        <w:t xml:space="preserve"> as</w:t>
      </w:r>
      <w:r w:rsidRPr="00702424">
        <w:rPr>
          <w:rFonts w:ascii="Arial" w:eastAsia="Arial" w:hAnsi="Arial" w:cs="Arial"/>
          <w:color w:val="211D1E"/>
          <w:lang w:val="en-IE"/>
        </w:rPr>
        <w:t xml:space="preserve"> confidential. It is also possible to send both a confidential and a public version.</w:t>
      </w:r>
      <w:r w:rsidRPr="00702424" w:rsidDel="00702424">
        <w:rPr>
          <w:rFonts w:ascii="Arial" w:eastAsia="Arial" w:hAnsi="Arial" w:cs="Arial"/>
          <w:color w:val="211D1E"/>
          <w:lang w:val="en-IE"/>
        </w:rPr>
        <w:t xml:space="preserve"> </w:t>
      </w:r>
      <w:r w:rsidR="00CF3040" w:rsidRPr="002510B0">
        <w:rPr>
          <w:rFonts w:ascii="Arial" w:eastAsia="Arial" w:hAnsi="Arial" w:cs="Arial"/>
          <w:color w:val="211D1E"/>
          <w:lang w:val="en-IE"/>
        </w:rPr>
        <w:t xml:space="preserve">Once the public consultation </w:t>
      </w:r>
      <w:r w:rsidR="00597EF0" w:rsidRPr="002510B0">
        <w:rPr>
          <w:rFonts w:ascii="Arial" w:eastAsia="Arial" w:hAnsi="Arial" w:cs="Arial"/>
          <w:color w:val="211D1E"/>
          <w:lang w:val="en-IE"/>
        </w:rPr>
        <w:t>is</w:t>
      </w:r>
      <w:r w:rsidR="00CF3040" w:rsidRPr="002510B0">
        <w:rPr>
          <w:rFonts w:ascii="Arial" w:eastAsia="Arial" w:hAnsi="Arial" w:cs="Arial"/>
          <w:color w:val="211D1E"/>
          <w:lang w:val="en-IE"/>
        </w:rPr>
        <w:t xml:space="preserve"> finish</w:t>
      </w:r>
      <w:r w:rsidR="00597EF0" w:rsidRPr="002510B0">
        <w:rPr>
          <w:rFonts w:ascii="Arial" w:eastAsia="Arial" w:hAnsi="Arial" w:cs="Arial"/>
          <w:color w:val="211D1E"/>
          <w:lang w:val="en-IE"/>
        </w:rPr>
        <w:t>ed</w:t>
      </w:r>
      <w:r w:rsidR="00CF3040" w:rsidRPr="002510B0">
        <w:rPr>
          <w:rFonts w:ascii="Arial" w:eastAsia="Arial" w:hAnsi="Arial" w:cs="Arial"/>
          <w:color w:val="211D1E"/>
          <w:lang w:val="en-IE"/>
        </w:rPr>
        <w:t>, BEREC will update the present draft guidelines base</w:t>
      </w:r>
      <w:bookmarkStart w:id="39" w:name="_GoBack"/>
      <w:bookmarkEnd w:id="39"/>
      <w:r w:rsidR="00CF3040" w:rsidRPr="002510B0">
        <w:rPr>
          <w:rFonts w:ascii="Arial" w:eastAsia="Arial" w:hAnsi="Arial" w:cs="Arial"/>
          <w:color w:val="211D1E"/>
          <w:lang w:val="en-IE"/>
        </w:rPr>
        <w:t>d on feedback received and the definitive version will be approved in the 4</w:t>
      </w:r>
      <w:r w:rsidR="00CF3040" w:rsidRPr="002510B0">
        <w:rPr>
          <w:rFonts w:ascii="Arial" w:eastAsia="Arial" w:hAnsi="Arial" w:cs="Arial"/>
          <w:color w:val="211D1E"/>
          <w:vertAlign w:val="superscript"/>
          <w:lang w:val="en-IE"/>
        </w:rPr>
        <w:t>th</w:t>
      </w:r>
      <w:r w:rsidR="007E410C">
        <w:rPr>
          <w:rFonts w:ascii="Arial" w:eastAsia="Arial" w:hAnsi="Arial" w:cs="Arial"/>
          <w:color w:val="211D1E"/>
          <w:lang w:val="en-IE"/>
        </w:rPr>
        <w:t xml:space="preserve"> </w:t>
      </w:r>
      <w:r w:rsidR="00CF3040" w:rsidRPr="002510B0">
        <w:rPr>
          <w:rFonts w:ascii="Arial" w:eastAsia="Arial" w:hAnsi="Arial" w:cs="Arial"/>
          <w:color w:val="211D1E"/>
          <w:lang w:val="en-IE"/>
        </w:rPr>
        <w:t>BEREC Plenary meeting</w:t>
      </w:r>
      <w:r w:rsidR="00E03995" w:rsidRPr="002510B0">
        <w:rPr>
          <w:rFonts w:ascii="Arial" w:eastAsia="Arial" w:hAnsi="Arial" w:cs="Arial"/>
          <w:color w:val="211D1E"/>
          <w:lang w:val="en-IE"/>
        </w:rPr>
        <w:t xml:space="preserve"> and </w:t>
      </w:r>
      <w:r w:rsidR="007E410C">
        <w:rPr>
          <w:rFonts w:ascii="Arial" w:eastAsia="Arial" w:hAnsi="Arial" w:cs="Arial"/>
          <w:color w:val="211D1E"/>
          <w:lang w:val="en-IE"/>
        </w:rPr>
        <w:t xml:space="preserve">will </w:t>
      </w:r>
      <w:r w:rsidR="00CF3040" w:rsidRPr="002510B0">
        <w:rPr>
          <w:rFonts w:ascii="Arial" w:eastAsia="Arial" w:hAnsi="Arial" w:cs="Arial"/>
          <w:color w:val="211D1E"/>
          <w:lang w:val="en-IE"/>
        </w:rPr>
        <w:t>enter</w:t>
      </w:r>
      <w:r w:rsidR="00E03995" w:rsidRPr="002510B0">
        <w:rPr>
          <w:rFonts w:ascii="Arial" w:eastAsia="Arial" w:hAnsi="Arial" w:cs="Arial"/>
          <w:color w:val="211D1E"/>
          <w:lang w:val="en-IE"/>
        </w:rPr>
        <w:t xml:space="preserve"> </w:t>
      </w:r>
      <w:r w:rsidR="00CF3040" w:rsidRPr="002510B0">
        <w:rPr>
          <w:rFonts w:ascii="Arial" w:eastAsia="Arial" w:hAnsi="Arial" w:cs="Arial"/>
          <w:color w:val="211D1E"/>
          <w:lang w:val="en-IE"/>
        </w:rPr>
        <w:t xml:space="preserve">into force </w:t>
      </w:r>
      <w:r w:rsidR="00E03995" w:rsidRPr="002510B0">
        <w:rPr>
          <w:rFonts w:ascii="Arial" w:eastAsia="Arial" w:hAnsi="Arial" w:cs="Arial"/>
          <w:color w:val="211D1E"/>
          <w:lang w:val="en-IE"/>
        </w:rPr>
        <w:t xml:space="preserve">right after, </w:t>
      </w:r>
      <w:r w:rsidR="00CF3040" w:rsidRPr="002510B0">
        <w:rPr>
          <w:rFonts w:ascii="Arial" w:eastAsia="Arial" w:hAnsi="Arial" w:cs="Arial"/>
          <w:color w:val="211D1E"/>
          <w:lang w:val="en-IE"/>
        </w:rPr>
        <w:t>in December 2020</w:t>
      </w:r>
      <w:r w:rsidR="00E03995" w:rsidRPr="002510B0">
        <w:rPr>
          <w:rFonts w:ascii="Arial" w:eastAsia="Arial" w:hAnsi="Arial" w:cs="Arial"/>
          <w:color w:val="211D1E"/>
          <w:lang w:val="en-IE"/>
        </w:rPr>
        <w:t>.</w:t>
      </w:r>
    </w:p>
    <w:p w14:paraId="5A43A43E" w14:textId="77777777" w:rsidR="00565BB9" w:rsidRPr="00565BB9" w:rsidRDefault="00565BB9" w:rsidP="00565BB9">
      <w:pPr>
        <w:keepNext/>
        <w:keepLines/>
        <w:numPr>
          <w:ilvl w:val="0"/>
          <w:numId w:val="22"/>
        </w:numPr>
        <w:spacing w:before="480" w:after="120"/>
        <w:outlineLvl w:val="0"/>
        <w:rPr>
          <w:rFonts w:ascii="Arial" w:eastAsia="Times New Roman" w:hAnsi="Arial" w:cs="Times New Roman"/>
          <w:b/>
          <w:bCs/>
          <w:color w:val="000000"/>
          <w:sz w:val="32"/>
          <w:szCs w:val="28"/>
          <w:lang w:val="en-IE"/>
        </w:rPr>
      </w:pPr>
      <w:bookmarkStart w:id="40" w:name="_Toc36816350"/>
      <w:bookmarkStart w:id="41" w:name="_Toc36816351"/>
      <w:bookmarkStart w:id="42" w:name="_DV_M90"/>
      <w:bookmarkStart w:id="43" w:name="_DV_M91"/>
      <w:bookmarkStart w:id="44" w:name="_Toc24096915"/>
      <w:bookmarkStart w:id="45" w:name="_Toc31190814"/>
      <w:bookmarkStart w:id="46" w:name="_Toc24112027"/>
      <w:bookmarkStart w:id="47" w:name="_Toc36816352"/>
      <w:bookmarkStart w:id="48" w:name="_Toc36030359"/>
      <w:bookmarkStart w:id="49" w:name="_Toc38464069"/>
      <w:bookmarkEnd w:id="28"/>
      <w:bookmarkEnd w:id="29"/>
      <w:bookmarkEnd w:id="30"/>
      <w:bookmarkEnd w:id="31"/>
      <w:bookmarkEnd w:id="40"/>
      <w:bookmarkEnd w:id="41"/>
      <w:bookmarkEnd w:id="42"/>
      <w:bookmarkEnd w:id="43"/>
      <w:r w:rsidRPr="00565BB9">
        <w:rPr>
          <w:rFonts w:ascii="Arial" w:eastAsia="Times New Roman" w:hAnsi="Arial" w:cs="Times New Roman"/>
          <w:b/>
          <w:bCs/>
          <w:color w:val="000000"/>
          <w:sz w:val="32"/>
          <w:szCs w:val="28"/>
          <w:lang w:val="en-IE"/>
        </w:rPr>
        <w:t>GUIDELINES ON ARTICLE 76</w:t>
      </w:r>
      <w:bookmarkEnd w:id="44"/>
      <w:bookmarkEnd w:id="45"/>
      <w:bookmarkEnd w:id="46"/>
      <w:bookmarkEnd w:id="47"/>
      <w:bookmarkEnd w:id="48"/>
      <w:bookmarkEnd w:id="49"/>
      <w:r w:rsidRPr="00565BB9">
        <w:rPr>
          <w:rFonts w:ascii="Arial" w:eastAsia="Times New Roman" w:hAnsi="Arial" w:cs="Times New Roman"/>
          <w:b/>
          <w:bCs/>
          <w:color w:val="000000"/>
          <w:sz w:val="32"/>
          <w:szCs w:val="28"/>
          <w:lang w:val="en-IE"/>
        </w:rPr>
        <w:t xml:space="preserve"> </w:t>
      </w:r>
    </w:p>
    <w:p w14:paraId="7000BBA8" w14:textId="77777777" w:rsidR="00491011" w:rsidRPr="00565BB9" w:rsidRDefault="00491011" w:rsidP="00491011">
      <w:pPr>
        <w:keepNext/>
        <w:keepLines/>
        <w:numPr>
          <w:ilvl w:val="1"/>
          <w:numId w:val="22"/>
        </w:numPr>
        <w:spacing w:before="240" w:after="120"/>
        <w:outlineLvl w:val="1"/>
        <w:rPr>
          <w:rFonts w:ascii="Arial" w:eastAsia="Times New Roman" w:hAnsi="Arial" w:cs="Times New Roman"/>
          <w:b/>
          <w:bCs/>
          <w:color w:val="000000"/>
          <w:sz w:val="28"/>
          <w:szCs w:val="26"/>
          <w:lang w:val="en-IE"/>
        </w:rPr>
      </w:pPr>
      <w:bookmarkStart w:id="50" w:name="_Toc36816353"/>
      <w:bookmarkStart w:id="51" w:name="_Toc24096916"/>
      <w:bookmarkStart w:id="52" w:name="_Toc31190815"/>
      <w:bookmarkStart w:id="53" w:name="_Toc24112028"/>
      <w:bookmarkStart w:id="54" w:name="_Toc36816354"/>
      <w:bookmarkStart w:id="55" w:name="_Toc36030360"/>
      <w:bookmarkStart w:id="56" w:name="_Toc38464070"/>
      <w:bookmarkEnd w:id="50"/>
      <w:r w:rsidRPr="00565BB9">
        <w:rPr>
          <w:rFonts w:ascii="Arial" w:eastAsia="Times New Roman" w:hAnsi="Arial" w:cs="Times New Roman"/>
          <w:b/>
          <w:bCs/>
          <w:color w:val="000000"/>
          <w:sz w:val="28"/>
          <w:szCs w:val="26"/>
          <w:lang w:val="en-IE"/>
        </w:rPr>
        <w:t>Guidelines on Article 76 Par 1</w:t>
      </w:r>
      <w:bookmarkEnd w:id="51"/>
      <w:bookmarkEnd w:id="52"/>
      <w:bookmarkEnd w:id="53"/>
      <w:bookmarkEnd w:id="54"/>
      <w:bookmarkEnd w:id="55"/>
      <w:bookmarkEnd w:id="56"/>
      <w:r w:rsidRPr="00565BB9">
        <w:rPr>
          <w:rFonts w:ascii="Arial" w:eastAsia="Times New Roman" w:hAnsi="Arial" w:cs="Times New Roman"/>
          <w:b/>
          <w:bCs/>
          <w:color w:val="000000"/>
          <w:sz w:val="28"/>
          <w:szCs w:val="26"/>
          <w:lang w:val="en-IE"/>
        </w:rPr>
        <w:t xml:space="preserve"> </w:t>
      </w:r>
    </w:p>
    <w:p w14:paraId="672C13C4" w14:textId="77777777" w:rsidR="00491011" w:rsidRPr="00565BB9" w:rsidRDefault="00491011" w:rsidP="00491011">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b/>
          <w:lang w:val="en-IE"/>
        </w:rPr>
        <w:t>Article 76, Paragraph 1</w:t>
      </w:r>
    </w:p>
    <w:p w14:paraId="20FF2A3C" w14:textId="77777777" w:rsidR="00491011" w:rsidRPr="00565BB9" w:rsidRDefault="00491011" w:rsidP="00491011">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lang w:val="en-IE"/>
        </w:rPr>
        <w:t>“</w:t>
      </w:r>
      <w:r w:rsidRPr="00565BB9">
        <w:rPr>
          <w:rFonts w:ascii="Arial" w:eastAsia="Arial" w:hAnsi="Arial" w:cs="Times New Roman"/>
          <w:i/>
          <w:lang w:val="en-IE"/>
        </w:rPr>
        <w:t xml:space="preserve">Undertakings which have been designated as having significant market power in one or several relevant markets in accordance with Article 67 may offer commitments, in accordance with the procedure set out in Article 79 and subject to the second subparagraph of this paragraph, to open the deployment of a new very high capacity network that consists of optical fibre elements up to the end-user premises or base station to co-investment, for example by offering co-ownership or long-term risk sharing through co-financing or through purchase </w:t>
      </w:r>
      <w:r w:rsidRPr="00565BB9">
        <w:rPr>
          <w:rFonts w:ascii="Arial" w:eastAsia="Arial" w:hAnsi="Arial" w:cs="Times New Roman"/>
          <w:i/>
          <w:lang w:val="en-IE"/>
        </w:rPr>
        <w:lastRenderedPageBreak/>
        <w:t>agreements giving rise to specific rights of a structural character by other providers of electronic communications networks or services.</w:t>
      </w:r>
      <w:r w:rsidRPr="00565BB9">
        <w:rPr>
          <w:rFonts w:ascii="Arial" w:eastAsia="Arial" w:hAnsi="Arial" w:cs="Times New Roman"/>
          <w:lang w:val="en-IE"/>
        </w:rPr>
        <w:t>”</w:t>
      </w:r>
    </w:p>
    <w:p w14:paraId="78040614" w14:textId="27970D39" w:rsidR="00491011" w:rsidRDefault="00491011" w:rsidP="000C2DDA">
      <w:pPr>
        <w:pStyle w:val="ListParagraph"/>
        <w:numPr>
          <w:ilvl w:val="0"/>
          <w:numId w:val="47"/>
        </w:numPr>
        <w:spacing w:after="60"/>
        <w:contextualSpacing w:val="0"/>
        <w:rPr>
          <w:rFonts w:ascii="Arial" w:eastAsia="Arial" w:hAnsi="Arial" w:cs="Arial"/>
          <w:color w:val="211D1E"/>
          <w:lang w:val="en-GB"/>
        </w:rPr>
      </w:pPr>
      <w:r w:rsidRPr="009E3C17">
        <w:rPr>
          <w:rFonts w:ascii="Arial" w:eastAsia="Arial" w:hAnsi="Arial" w:cs="Arial"/>
          <w:lang w:val="en-GB"/>
        </w:rPr>
        <w:t xml:space="preserve">According to the first paragraph of </w:t>
      </w:r>
      <w:r w:rsidR="00FF487B">
        <w:rPr>
          <w:rFonts w:ascii="Arial" w:eastAsia="Arial" w:hAnsi="Arial" w:cs="Arial"/>
          <w:lang w:val="en-GB"/>
        </w:rPr>
        <w:t>Article</w:t>
      </w:r>
      <w:r w:rsidRPr="009E3C17">
        <w:rPr>
          <w:rFonts w:ascii="Arial" w:eastAsia="Arial" w:hAnsi="Arial" w:cs="Arial"/>
          <w:lang w:val="en-GB"/>
        </w:rPr>
        <w:t xml:space="preserve"> 76, operators that have been designated as having SMP may offer commitments to open the deployment of </w:t>
      </w:r>
      <w:r w:rsidRPr="009E3C17">
        <w:rPr>
          <w:rFonts w:ascii="Arial" w:eastAsia="Arial" w:hAnsi="Arial" w:cs="Arial"/>
          <w:color w:val="211D1E"/>
          <w:lang w:val="en-GB"/>
        </w:rPr>
        <w:t xml:space="preserve">a </w:t>
      </w:r>
      <w:r w:rsidRPr="009E3C17">
        <w:rPr>
          <w:rFonts w:ascii="Arial" w:eastAsia="Arial" w:hAnsi="Arial" w:cs="Arial"/>
          <w:i/>
          <w:color w:val="211D1E"/>
          <w:lang w:val="en-GB"/>
        </w:rPr>
        <w:t>“new very high capacity network that consists of optical fibre elements up to the end-user premises or base station”</w:t>
      </w:r>
      <w:r w:rsidR="00CE60DC" w:rsidRPr="002510B0">
        <w:rPr>
          <w:rFonts w:ascii="Arial" w:eastAsia="Arial" w:hAnsi="Arial" w:cs="Arial"/>
          <w:iCs/>
          <w:color w:val="211D1E"/>
          <w:lang w:val="en-GB"/>
        </w:rPr>
        <w:t xml:space="preserve"> </w:t>
      </w:r>
      <w:r w:rsidR="00CE60DC" w:rsidRPr="009E3C17">
        <w:rPr>
          <w:rFonts w:ascii="Arial" w:eastAsia="Arial" w:hAnsi="Arial" w:cs="Arial"/>
          <w:lang w:val="en-GB"/>
        </w:rPr>
        <w:t>to co-investment</w:t>
      </w:r>
      <w:r w:rsidRPr="009E3C17">
        <w:rPr>
          <w:rFonts w:ascii="Arial" w:eastAsia="Arial" w:hAnsi="Arial" w:cs="Arial"/>
          <w:color w:val="211D1E"/>
          <w:lang w:val="en-GB"/>
        </w:rPr>
        <w:t>.</w:t>
      </w:r>
      <w:r>
        <w:rPr>
          <w:rFonts w:ascii="Arial" w:eastAsia="Arial" w:hAnsi="Arial" w:cs="Arial"/>
          <w:color w:val="211D1E"/>
          <w:lang w:val="en-GB"/>
        </w:rPr>
        <w:t xml:space="preserve"> </w:t>
      </w:r>
    </w:p>
    <w:p w14:paraId="4D6A15A4" w14:textId="47A15580" w:rsidR="00491011" w:rsidRPr="0051083A" w:rsidRDefault="00491011" w:rsidP="000C2DDA">
      <w:pPr>
        <w:pStyle w:val="ListParagraph"/>
        <w:numPr>
          <w:ilvl w:val="0"/>
          <w:numId w:val="47"/>
        </w:numPr>
        <w:spacing w:after="60"/>
        <w:contextualSpacing w:val="0"/>
        <w:rPr>
          <w:rFonts w:ascii="Arial" w:eastAsia="Arial" w:hAnsi="Arial" w:cs="Arial"/>
          <w:color w:val="211D1E"/>
          <w:lang w:val="en-GB"/>
        </w:rPr>
      </w:pPr>
      <w:r w:rsidRPr="0016307C">
        <w:rPr>
          <w:rFonts w:ascii="Arial" w:hAnsi="Arial" w:cs="Arial"/>
        </w:rPr>
        <w:t xml:space="preserve">Article 76 deals with the co-investment offers of undertakings that have been designated – at the time the offer is made </w:t>
      </w:r>
      <w:r w:rsidR="00CE60DC">
        <w:rPr>
          <w:rFonts w:ascii="Arial" w:hAnsi="Arial" w:cs="Arial"/>
        </w:rPr>
        <w:t xml:space="preserve">– </w:t>
      </w:r>
      <w:r w:rsidRPr="0016307C">
        <w:rPr>
          <w:rFonts w:ascii="Arial" w:hAnsi="Arial" w:cs="Arial"/>
        </w:rPr>
        <w:t>as having SMP. Operators not holding SMP status are thus not covered by this provision</w:t>
      </w:r>
      <w:r w:rsidRPr="00470310">
        <w:rPr>
          <w:rStyle w:val="FootnoteReference"/>
          <w:rFonts w:ascii="Arial" w:eastAsia="Arial" w:hAnsi="Arial" w:cs="Arial"/>
          <w:lang w:val="en-GB"/>
        </w:rPr>
        <w:footnoteReference w:id="6"/>
      </w:r>
      <w:r>
        <w:rPr>
          <w:rFonts w:ascii="Arial" w:hAnsi="Arial" w:cs="Arial"/>
        </w:rPr>
        <w:t>.</w:t>
      </w:r>
    </w:p>
    <w:p w14:paraId="79CD0F77" w14:textId="35AC9978" w:rsidR="00491011" w:rsidRDefault="00491011" w:rsidP="00023C8A">
      <w:pPr>
        <w:pStyle w:val="ListParagraph"/>
        <w:numPr>
          <w:ilvl w:val="0"/>
          <w:numId w:val="47"/>
        </w:numPr>
        <w:spacing w:after="60"/>
        <w:contextualSpacing w:val="0"/>
        <w:rPr>
          <w:rFonts w:ascii="Arial" w:eastAsia="Arial" w:hAnsi="Arial" w:cs="Arial"/>
          <w:color w:val="211D1E"/>
          <w:lang w:val="en-GB"/>
        </w:rPr>
      </w:pPr>
      <w:r w:rsidRPr="009E3C17">
        <w:rPr>
          <w:rFonts w:ascii="Arial" w:eastAsia="Arial" w:hAnsi="Arial" w:cs="Arial"/>
          <w:color w:val="211D1E"/>
          <w:lang w:val="en-GB"/>
        </w:rPr>
        <w:t>The elements contained in this definition are discussed below.</w:t>
      </w:r>
      <w:r>
        <w:rPr>
          <w:rFonts w:ascii="Arial" w:eastAsia="Arial" w:hAnsi="Arial" w:cs="Arial"/>
          <w:color w:val="211D1E"/>
          <w:lang w:val="en-GB"/>
        </w:rPr>
        <w:t xml:space="preserve"> In particular, the following issues are addressed:</w:t>
      </w:r>
    </w:p>
    <w:p w14:paraId="4AD72EBB" w14:textId="77777777" w:rsidR="00491011" w:rsidRDefault="00491011" w:rsidP="00491011">
      <w:pPr>
        <w:pStyle w:val="ListParagraph"/>
        <w:numPr>
          <w:ilvl w:val="1"/>
          <w:numId w:val="47"/>
        </w:numPr>
        <w:rPr>
          <w:rFonts w:ascii="Arial" w:eastAsia="Arial" w:hAnsi="Arial" w:cs="Arial"/>
          <w:color w:val="211D1E"/>
          <w:lang w:val="en-GB"/>
        </w:rPr>
      </w:pPr>
      <w:r>
        <w:rPr>
          <w:rFonts w:ascii="Arial" w:eastAsia="Arial" w:hAnsi="Arial" w:cs="Arial"/>
          <w:color w:val="211D1E"/>
          <w:lang w:val="en-GB"/>
        </w:rPr>
        <w:t xml:space="preserve">Which </w:t>
      </w:r>
      <w:r w:rsidRPr="00354AD4">
        <w:rPr>
          <w:rFonts w:ascii="Arial" w:eastAsia="Arial" w:hAnsi="Arial" w:cs="Arial"/>
          <w:color w:val="211D1E"/>
          <w:lang w:val="en-GB"/>
        </w:rPr>
        <w:t>VHCN</w:t>
      </w:r>
      <w:r>
        <w:rPr>
          <w:rFonts w:ascii="Arial" w:eastAsia="Arial" w:hAnsi="Arial" w:cs="Arial"/>
          <w:color w:val="211D1E"/>
          <w:lang w:val="en-GB"/>
        </w:rPr>
        <w:t xml:space="preserve"> fall in the scope of </w:t>
      </w:r>
      <w:r w:rsidR="00FF487B">
        <w:rPr>
          <w:rFonts w:ascii="Arial" w:eastAsia="Arial" w:hAnsi="Arial" w:cs="Arial"/>
          <w:color w:val="211D1E"/>
          <w:lang w:val="en-GB"/>
        </w:rPr>
        <w:t>Article</w:t>
      </w:r>
      <w:r>
        <w:rPr>
          <w:rFonts w:ascii="Arial" w:eastAsia="Arial" w:hAnsi="Arial" w:cs="Arial"/>
          <w:color w:val="211D1E"/>
          <w:lang w:val="en-GB"/>
        </w:rPr>
        <w:t xml:space="preserve"> 76;</w:t>
      </w:r>
    </w:p>
    <w:p w14:paraId="3C28A85B" w14:textId="77777777" w:rsidR="00491011" w:rsidRDefault="00491011" w:rsidP="00491011">
      <w:pPr>
        <w:pStyle w:val="ListParagraph"/>
        <w:numPr>
          <w:ilvl w:val="1"/>
          <w:numId w:val="47"/>
        </w:numPr>
        <w:rPr>
          <w:rFonts w:ascii="Arial" w:eastAsia="Arial" w:hAnsi="Arial" w:cs="Arial"/>
          <w:color w:val="211D1E"/>
          <w:lang w:val="en-GB"/>
        </w:rPr>
      </w:pPr>
      <w:r>
        <w:rPr>
          <w:rFonts w:ascii="Arial" w:eastAsia="Arial" w:hAnsi="Arial" w:cs="Arial"/>
          <w:color w:val="211D1E"/>
          <w:lang w:val="en-GB"/>
        </w:rPr>
        <w:t xml:space="preserve">What is a </w:t>
      </w:r>
      <w:r w:rsidRPr="00354AD4">
        <w:rPr>
          <w:rFonts w:ascii="Arial" w:eastAsia="Arial" w:hAnsi="Arial" w:cs="Arial"/>
          <w:color w:val="211D1E"/>
          <w:lang w:val="en-GB"/>
        </w:rPr>
        <w:t>new</w:t>
      </w:r>
      <w:r>
        <w:rPr>
          <w:rFonts w:ascii="Arial" w:eastAsia="Arial" w:hAnsi="Arial" w:cs="Arial"/>
          <w:color w:val="211D1E"/>
          <w:lang w:val="en-GB"/>
        </w:rPr>
        <w:t xml:space="preserve"> </w:t>
      </w:r>
      <w:r w:rsidRPr="00FC0062">
        <w:rPr>
          <w:rFonts w:ascii="Arial" w:eastAsia="Arial" w:hAnsi="Arial" w:cs="Arial"/>
          <w:color w:val="211D1E"/>
          <w:lang w:val="en-GB"/>
        </w:rPr>
        <w:t xml:space="preserve">VHCN for the purposes of </w:t>
      </w:r>
      <w:r w:rsidR="00FF487B">
        <w:rPr>
          <w:rFonts w:ascii="Arial" w:eastAsia="Arial" w:hAnsi="Arial" w:cs="Arial"/>
          <w:color w:val="211D1E"/>
          <w:lang w:val="en-GB"/>
        </w:rPr>
        <w:t>Article</w:t>
      </w:r>
      <w:r w:rsidRPr="00FC0062">
        <w:rPr>
          <w:rFonts w:ascii="Arial" w:eastAsia="Arial" w:hAnsi="Arial" w:cs="Arial"/>
          <w:color w:val="211D1E"/>
          <w:lang w:val="en-GB"/>
        </w:rPr>
        <w:t xml:space="preserve"> 76</w:t>
      </w:r>
      <w:r>
        <w:rPr>
          <w:rFonts w:ascii="Arial" w:eastAsia="Arial" w:hAnsi="Arial" w:cs="Arial"/>
          <w:color w:val="211D1E"/>
          <w:lang w:val="en-GB"/>
        </w:rPr>
        <w:t>;</w:t>
      </w:r>
    </w:p>
    <w:p w14:paraId="7ECF7E86" w14:textId="77777777" w:rsidR="00491011" w:rsidRPr="00FC0062" w:rsidRDefault="00491011" w:rsidP="00491011">
      <w:pPr>
        <w:pStyle w:val="ListParagraph"/>
        <w:numPr>
          <w:ilvl w:val="1"/>
          <w:numId w:val="47"/>
        </w:numPr>
        <w:rPr>
          <w:rFonts w:ascii="Arial" w:eastAsia="Arial" w:hAnsi="Arial" w:cs="Arial"/>
          <w:color w:val="211D1E"/>
          <w:lang w:val="en-GB"/>
        </w:rPr>
      </w:pPr>
      <w:r>
        <w:rPr>
          <w:rFonts w:ascii="Arial" w:eastAsia="Arial" w:hAnsi="Arial" w:cs="Arial"/>
          <w:color w:val="211D1E"/>
          <w:lang w:val="en-GB"/>
        </w:rPr>
        <w:t>Timing for making an offer to co-invest;</w:t>
      </w:r>
    </w:p>
    <w:p w14:paraId="7935E837" w14:textId="77777777" w:rsidR="00491011" w:rsidRPr="00FC0062" w:rsidRDefault="00491011" w:rsidP="00491011">
      <w:pPr>
        <w:pStyle w:val="ListParagraph"/>
        <w:numPr>
          <w:ilvl w:val="1"/>
          <w:numId w:val="47"/>
        </w:numPr>
        <w:rPr>
          <w:rFonts w:ascii="Arial" w:eastAsia="Arial" w:hAnsi="Arial" w:cs="Arial"/>
          <w:color w:val="211D1E"/>
          <w:lang w:val="en-GB"/>
        </w:rPr>
      </w:pPr>
      <w:r>
        <w:rPr>
          <w:rFonts w:ascii="Arial" w:eastAsia="Arial" w:hAnsi="Arial" w:cs="Arial"/>
          <w:color w:val="211D1E"/>
          <w:lang w:val="en-GB"/>
        </w:rPr>
        <w:t>Type</w:t>
      </w:r>
      <w:r w:rsidRPr="00FC0062">
        <w:rPr>
          <w:rFonts w:ascii="Arial" w:eastAsia="Arial" w:hAnsi="Arial" w:cs="Arial"/>
          <w:color w:val="211D1E"/>
          <w:lang w:val="en-GB"/>
        </w:rPr>
        <w:t xml:space="preserve"> of investments </w:t>
      </w:r>
      <w:r>
        <w:rPr>
          <w:rFonts w:ascii="Arial" w:eastAsia="Arial" w:hAnsi="Arial" w:cs="Arial"/>
          <w:color w:val="211D1E"/>
          <w:lang w:val="en-GB"/>
        </w:rPr>
        <w:t>which may</w:t>
      </w:r>
      <w:r w:rsidRPr="00FC0062">
        <w:rPr>
          <w:rFonts w:ascii="Arial" w:eastAsia="Arial" w:hAnsi="Arial" w:cs="Arial"/>
          <w:color w:val="211D1E"/>
          <w:lang w:val="en-GB"/>
        </w:rPr>
        <w:t xml:space="preserve"> be covered by </w:t>
      </w:r>
      <w:r w:rsidR="00FF487B">
        <w:rPr>
          <w:rFonts w:ascii="Arial" w:eastAsia="Arial" w:hAnsi="Arial" w:cs="Arial"/>
          <w:color w:val="211D1E"/>
          <w:lang w:val="en-GB"/>
        </w:rPr>
        <w:t>Article</w:t>
      </w:r>
      <w:r w:rsidRPr="00FC0062">
        <w:rPr>
          <w:rFonts w:ascii="Arial" w:eastAsia="Arial" w:hAnsi="Arial" w:cs="Arial"/>
          <w:color w:val="211D1E"/>
          <w:lang w:val="en-GB"/>
        </w:rPr>
        <w:t xml:space="preserve"> 76</w:t>
      </w:r>
      <w:r>
        <w:rPr>
          <w:rFonts w:ascii="Arial" w:eastAsia="Arial" w:hAnsi="Arial" w:cs="Arial"/>
          <w:color w:val="211D1E"/>
          <w:lang w:val="en-GB"/>
        </w:rPr>
        <w:t>; and,</w:t>
      </w:r>
    </w:p>
    <w:p w14:paraId="241A8AD5" w14:textId="77777777" w:rsidR="00491011" w:rsidRPr="00FC0062" w:rsidRDefault="00491011" w:rsidP="00491011">
      <w:pPr>
        <w:pStyle w:val="ListParagraph"/>
        <w:numPr>
          <w:ilvl w:val="1"/>
          <w:numId w:val="47"/>
        </w:numPr>
        <w:rPr>
          <w:rFonts w:ascii="Arial" w:eastAsia="Arial" w:hAnsi="Arial" w:cs="Arial"/>
          <w:color w:val="211D1E"/>
          <w:lang w:val="en-GB"/>
        </w:rPr>
      </w:pPr>
      <w:r>
        <w:rPr>
          <w:rFonts w:ascii="Arial" w:eastAsia="Arial" w:hAnsi="Arial" w:cs="Arial"/>
          <w:color w:val="211D1E"/>
          <w:lang w:val="en-GB"/>
        </w:rPr>
        <w:t>C</w:t>
      </w:r>
      <w:r w:rsidRPr="00FC0062">
        <w:rPr>
          <w:rFonts w:ascii="Arial" w:eastAsia="Arial" w:hAnsi="Arial" w:cs="Arial"/>
          <w:color w:val="211D1E"/>
          <w:lang w:val="en-GB"/>
        </w:rPr>
        <w:t xml:space="preserve">o-investment models </w:t>
      </w:r>
      <w:r>
        <w:rPr>
          <w:rFonts w:ascii="Arial" w:eastAsia="Arial" w:hAnsi="Arial" w:cs="Arial"/>
          <w:color w:val="211D1E"/>
          <w:lang w:val="en-GB"/>
        </w:rPr>
        <w:t>which may</w:t>
      </w:r>
      <w:r w:rsidRPr="00FC0062">
        <w:rPr>
          <w:rFonts w:ascii="Arial" w:eastAsia="Arial" w:hAnsi="Arial" w:cs="Arial"/>
          <w:color w:val="211D1E"/>
          <w:lang w:val="en-GB"/>
        </w:rPr>
        <w:t xml:space="preserve"> be covered by </w:t>
      </w:r>
      <w:r w:rsidR="00FF487B">
        <w:rPr>
          <w:rFonts w:ascii="Arial" w:eastAsia="Arial" w:hAnsi="Arial" w:cs="Arial"/>
          <w:color w:val="211D1E"/>
          <w:lang w:val="en-GB"/>
        </w:rPr>
        <w:t>Article</w:t>
      </w:r>
      <w:r w:rsidRPr="00FC0062">
        <w:rPr>
          <w:rFonts w:ascii="Arial" w:eastAsia="Arial" w:hAnsi="Arial" w:cs="Arial"/>
          <w:color w:val="211D1E"/>
          <w:lang w:val="en-GB"/>
        </w:rPr>
        <w:t xml:space="preserve"> 76</w:t>
      </w:r>
      <w:r>
        <w:rPr>
          <w:rFonts w:ascii="Arial" w:eastAsia="Arial" w:hAnsi="Arial" w:cs="Arial"/>
          <w:color w:val="211D1E"/>
          <w:lang w:val="en-GB"/>
        </w:rPr>
        <w:t>.</w:t>
      </w:r>
    </w:p>
    <w:p w14:paraId="294CC2CE" w14:textId="77777777" w:rsidR="00491011" w:rsidRPr="00CD7C49" w:rsidRDefault="00491011" w:rsidP="002510B0">
      <w:pPr>
        <w:keepNext/>
        <w:keepLines/>
        <w:numPr>
          <w:ilvl w:val="2"/>
          <w:numId w:val="22"/>
        </w:numPr>
        <w:spacing w:before="40" w:after="120"/>
        <w:outlineLvl w:val="2"/>
        <w:rPr>
          <w:rFonts w:eastAsia="Arial"/>
        </w:rPr>
      </w:pPr>
      <w:bookmarkStart w:id="57" w:name="_Toc31190816"/>
      <w:bookmarkStart w:id="58" w:name="_Toc36816355"/>
      <w:bookmarkStart w:id="59" w:name="_Toc36030361"/>
      <w:bookmarkStart w:id="60" w:name="_Toc38464071"/>
      <w:r w:rsidRPr="00CD7C49">
        <w:rPr>
          <w:rFonts w:ascii="Arial" w:eastAsia="Arial" w:hAnsi="Arial" w:cs="Times New Roman"/>
          <w:b/>
          <w:bCs/>
          <w:color w:val="000000"/>
          <w:sz w:val="24"/>
          <w:lang w:val="en-GB"/>
        </w:rPr>
        <w:t xml:space="preserve">Which VHCN fall in the scope of </w:t>
      </w:r>
      <w:r w:rsidR="00FF487B" w:rsidRPr="00CD7C49">
        <w:rPr>
          <w:rFonts w:ascii="Arial" w:eastAsia="Arial" w:hAnsi="Arial" w:cs="Times New Roman"/>
          <w:b/>
          <w:bCs/>
          <w:color w:val="000000"/>
          <w:sz w:val="24"/>
          <w:lang w:val="en-GB"/>
        </w:rPr>
        <w:t>Article</w:t>
      </w:r>
      <w:r w:rsidRPr="00CD7C49">
        <w:rPr>
          <w:rFonts w:ascii="Arial" w:eastAsia="Arial" w:hAnsi="Arial" w:cs="Times New Roman"/>
          <w:b/>
          <w:bCs/>
          <w:color w:val="000000"/>
          <w:sz w:val="24"/>
          <w:lang w:val="en-GB"/>
        </w:rPr>
        <w:t xml:space="preserve"> 76</w:t>
      </w:r>
      <w:bookmarkEnd w:id="57"/>
      <w:bookmarkEnd w:id="58"/>
      <w:bookmarkEnd w:id="59"/>
      <w:bookmarkEnd w:id="60"/>
    </w:p>
    <w:p w14:paraId="00DA1FDF" w14:textId="043F8B62" w:rsidR="00491011" w:rsidRPr="00CC7CEB" w:rsidRDefault="00491011" w:rsidP="000C2DDA">
      <w:pPr>
        <w:pStyle w:val="ListParagraph"/>
        <w:numPr>
          <w:ilvl w:val="0"/>
          <w:numId w:val="47"/>
        </w:numPr>
        <w:spacing w:after="60"/>
        <w:contextualSpacing w:val="0"/>
        <w:rPr>
          <w:rFonts w:ascii="Arial" w:eastAsia="Arial" w:hAnsi="Arial" w:cs="Arial"/>
          <w:lang w:val="en-IE"/>
        </w:rPr>
      </w:pPr>
      <w:r w:rsidRPr="00CC7CEB">
        <w:rPr>
          <w:rFonts w:ascii="Arial" w:eastAsia="Arial" w:hAnsi="Arial" w:cs="Arial"/>
          <w:lang w:val="en-IE"/>
        </w:rPr>
        <w:t xml:space="preserve">The technical elements that are referred to in </w:t>
      </w:r>
      <w:r w:rsidR="00FF487B">
        <w:rPr>
          <w:rFonts w:ascii="Arial" w:eastAsia="Arial" w:hAnsi="Arial" w:cs="Arial"/>
          <w:lang w:val="en-IE"/>
        </w:rPr>
        <w:t>Article</w:t>
      </w:r>
      <w:r w:rsidRPr="00CC7CEB">
        <w:rPr>
          <w:rFonts w:ascii="Arial" w:eastAsia="Arial" w:hAnsi="Arial" w:cs="Arial"/>
          <w:lang w:val="en-IE"/>
        </w:rPr>
        <w:t xml:space="preserve"> 76 </w:t>
      </w:r>
      <w:r>
        <w:rPr>
          <w:rFonts w:ascii="Arial" w:eastAsia="Arial" w:hAnsi="Arial" w:cs="Arial"/>
          <w:lang w:val="en-IE"/>
        </w:rPr>
        <w:t xml:space="preserve">limit the scope of the application of this provision to a specific category of VHCN compared to </w:t>
      </w:r>
      <w:r w:rsidRPr="00CC7CEB">
        <w:rPr>
          <w:rFonts w:ascii="Arial" w:eastAsia="Arial" w:hAnsi="Arial" w:cs="Arial"/>
          <w:lang w:val="en-IE"/>
        </w:rPr>
        <w:t xml:space="preserve">the definition of very high capacity networks as contained in </w:t>
      </w:r>
      <w:r w:rsidR="00FF487B">
        <w:rPr>
          <w:rFonts w:ascii="Arial" w:eastAsia="Arial" w:hAnsi="Arial" w:cs="Arial"/>
          <w:lang w:val="en-IE"/>
        </w:rPr>
        <w:t>Article</w:t>
      </w:r>
      <w:r w:rsidRPr="00CC7CEB">
        <w:rPr>
          <w:rFonts w:ascii="Arial" w:eastAsia="Arial" w:hAnsi="Arial" w:cs="Arial"/>
          <w:lang w:val="en-IE"/>
        </w:rPr>
        <w:t xml:space="preserve"> 2(2) of the </w:t>
      </w:r>
      <w:r>
        <w:rPr>
          <w:rFonts w:ascii="Arial" w:eastAsia="Arial" w:hAnsi="Arial" w:cs="Arial"/>
          <w:lang w:val="en-IE"/>
        </w:rPr>
        <w:t>EECC</w:t>
      </w:r>
      <w:r w:rsidRPr="00470310">
        <w:rPr>
          <w:vertAlign w:val="superscript"/>
          <w:lang w:val="en-IE"/>
        </w:rPr>
        <w:footnoteReference w:id="7"/>
      </w:r>
      <w:r w:rsidRPr="00CC7CEB">
        <w:rPr>
          <w:rFonts w:ascii="Arial" w:eastAsia="Arial" w:hAnsi="Arial" w:cs="Arial"/>
          <w:lang w:val="en-IE"/>
        </w:rPr>
        <w:t xml:space="preserve">. In particular, </w:t>
      </w:r>
      <w:r w:rsidR="00FF487B">
        <w:rPr>
          <w:rFonts w:ascii="Arial" w:eastAsia="Arial" w:hAnsi="Arial" w:cs="Arial"/>
          <w:lang w:val="en-IE"/>
        </w:rPr>
        <w:t>Article</w:t>
      </w:r>
      <w:r w:rsidRPr="00CC7CEB">
        <w:rPr>
          <w:rFonts w:ascii="Arial" w:eastAsia="Arial" w:hAnsi="Arial" w:cs="Arial"/>
          <w:lang w:val="en-IE"/>
        </w:rPr>
        <w:t xml:space="preserve"> 76 makes an explicit technological choice, and specifies that only a VHCN </w:t>
      </w:r>
      <w:r w:rsidRPr="00CC7CEB">
        <w:rPr>
          <w:rFonts w:ascii="Arial" w:eastAsia="Arial" w:hAnsi="Arial" w:cs="Arial"/>
          <w:color w:val="211D1E"/>
          <w:lang w:val="en-GB"/>
        </w:rPr>
        <w:t>that consists of optical fibre elements up to the end-user premises or base station</w:t>
      </w:r>
      <w:r>
        <w:rPr>
          <w:rStyle w:val="FootnoteReference"/>
          <w:rFonts w:ascii="Arial" w:eastAsia="Arial" w:hAnsi="Arial" w:cs="Arial"/>
          <w:color w:val="211D1E"/>
          <w:lang w:val="en-GB"/>
        </w:rPr>
        <w:footnoteReference w:id="8"/>
      </w:r>
      <w:r w:rsidRPr="00CC7CEB">
        <w:rPr>
          <w:rFonts w:ascii="Arial" w:eastAsia="Arial" w:hAnsi="Arial" w:cs="Arial"/>
          <w:color w:val="211D1E"/>
          <w:lang w:val="en-GB"/>
        </w:rPr>
        <w:t xml:space="preserve"> will qualify for the specific regulatory treatment foreseen in the </w:t>
      </w:r>
      <w:r w:rsidR="00FF487B">
        <w:rPr>
          <w:rFonts w:ascii="Arial" w:eastAsia="Arial" w:hAnsi="Arial" w:cs="Arial"/>
          <w:color w:val="211D1E"/>
          <w:lang w:val="en-GB"/>
        </w:rPr>
        <w:t>Article</w:t>
      </w:r>
      <w:r w:rsidRPr="00CC7CEB">
        <w:rPr>
          <w:rFonts w:ascii="Arial" w:eastAsia="Arial" w:hAnsi="Arial" w:cs="Arial"/>
          <w:color w:val="211D1E"/>
          <w:lang w:val="en-GB"/>
        </w:rPr>
        <w:t>.</w:t>
      </w:r>
      <w:r>
        <w:rPr>
          <w:rFonts w:ascii="Arial" w:eastAsia="Arial" w:hAnsi="Arial" w:cs="Arial"/>
          <w:color w:val="211D1E"/>
          <w:lang w:val="en-GB"/>
        </w:rPr>
        <w:t xml:space="preserve"> Thus only particular types of VHCN are subject to </w:t>
      </w:r>
      <w:r w:rsidR="00FF487B">
        <w:rPr>
          <w:rFonts w:ascii="Arial" w:eastAsia="Arial" w:hAnsi="Arial" w:cs="Arial"/>
          <w:color w:val="211D1E"/>
          <w:lang w:val="en-GB"/>
        </w:rPr>
        <w:t>Article</w:t>
      </w:r>
      <w:r>
        <w:rPr>
          <w:rFonts w:ascii="Arial" w:eastAsia="Arial" w:hAnsi="Arial" w:cs="Arial"/>
          <w:color w:val="211D1E"/>
          <w:lang w:val="en-GB"/>
        </w:rPr>
        <w:t xml:space="preserve"> 76 EECC and to the present Guidelines.</w:t>
      </w:r>
    </w:p>
    <w:p w14:paraId="4B0568FB" w14:textId="6E99BDE5" w:rsidR="00491011" w:rsidRDefault="00491011" w:rsidP="0027611B">
      <w:pPr>
        <w:pStyle w:val="ListParagraph"/>
        <w:numPr>
          <w:ilvl w:val="0"/>
          <w:numId w:val="47"/>
        </w:numPr>
        <w:spacing w:after="60"/>
        <w:contextualSpacing w:val="0"/>
        <w:rPr>
          <w:rFonts w:ascii="Arial" w:eastAsia="Arial" w:hAnsi="Arial" w:cs="Arial"/>
          <w:lang w:val="en-IE"/>
        </w:rPr>
      </w:pPr>
      <w:r w:rsidRPr="00CC7CEB">
        <w:rPr>
          <w:rFonts w:ascii="Arial" w:eastAsia="Arial" w:hAnsi="Arial" w:cs="Arial"/>
          <w:lang w:val="en-IE"/>
        </w:rPr>
        <w:t xml:space="preserve">Electronic communications networks which do not consist of optical fibre elements up to the end-user premises or base station, will </w:t>
      </w:r>
      <w:r w:rsidRPr="0034735C">
        <w:rPr>
          <w:rFonts w:ascii="Arial" w:eastAsia="Arial" w:hAnsi="Arial" w:cs="Arial"/>
          <w:lang w:val="en-IE"/>
        </w:rPr>
        <w:t xml:space="preserve">not be eligible for the regulatory treatment </w:t>
      </w:r>
      <w:r w:rsidRPr="0034735C">
        <w:rPr>
          <w:rFonts w:ascii="Arial" w:eastAsia="Arial" w:hAnsi="Arial" w:cs="Arial"/>
          <w:lang w:val="en-IE"/>
        </w:rPr>
        <w:lastRenderedPageBreak/>
        <w:t xml:space="preserve">accorded </w:t>
      </w:r>
      <w:r>
        <w:rPr>
          <w:rFonts w:ascii="Arial" w:eastAsia="Arial" w:hAnsi="Arial" w:cs="Arial"/>
          <w:lang w:val="en-IE"/>
        </w:rPr>
        <w:t xml:space="preserve">under </w:t>
      </w:r>
      <w:r w:rsidRPr="00CC7CEB">
        <w:rPr>
          <w:rFonts w:ascii="Arial" w:eastAsia="Arial" w:hAnsi="Arial" w:cs="Arial"/>
          <w:lang w:val="en-IE"/>
        </w:rPr>
        <w:t xml:space="preserve">the remit of </w:t>
      </w:r>
      <w:r w:rsidR="00FF487B">
        <w:rPr>
          <w:rFonts w:ascii="Arial" w:eastAsia="Arial" w:hAnsi="Arial" w:cs="Arial"/>
          <w:lang w:val="en-IE"/>
        </w:rPr>
        <w:t>Article</w:t>
      </w:r>
      <w:r w:rsidRPr="00CC7CEB">
        <w:rPr>
          <w:rFonts w:ascii="Arial" w:eastAsia="Arial" w:hAnsi="Arial" w:cs="Arial"/>
          <w:lang w:val="en-IE"/>
        </w:rPr>
        <w:t xml:space="preserve"> 76 of the </w:t>
      </w:r>
      <w:r w:rsidR="00E84062">
        <w:rPr>
          <w:rFonts w:ascii="Arial" w:eastAsia="Arial" w:hAnsi="Arial" w:cs="Arial"/>
          <w:lang w:val="en-IE"/>
        </w:rPr>
        <w:t>EECC</w:t>
      </w:r>
      <w:r w:rsidRPr="00CC7CEB">
        <w:rPr>
          <w:rFonts w:ascii="Arial" w:eastAsia="Arial" w:hAnsi="Arial" w:cs="Arial"/>
          <w:lang w:val="en-IE"/>
        </w:rPr>
        <w:t>, even if they may qualify as a VHCN</w:t>
      </w:r>
      <w:r w:rsidRPr="0034735C">
        <w:rPr>
          <w:rFonts w:ascii="Arial" w:eastAsia="Arial" w:hAnsi="Arial" w:cs="Arial"/>
          <w:lang w:val="en-IE"/>
        </w:rPr>
        <w:t xml:space="preserve"> according to Article 82 of the </w:t>
      </w:r>
      <w:r w:rsidR="00E84062">
        <w:rPr>
          <w:rFonts w:ascii="Arial" w:eastAsia="Arial" w:hAnsi="Arial" w:cs="Arial"/>
          <w:lang w:val="en-IE"/>
        </w:rPr>
        <w:t>EECC</w:t>
      </w:r>
      <w:r w:rsidRPr="00470310">
        <w:rPr>
          <w:vertAlign w:val="superscript"/>
          <w:lang w:val="en-IE"/>
        </w:rPr>
        <w:footnoteReference w:id="9"/>
      </w:r>
      <w:r w:rsidRPr="00CC7CEB">
        <w:rPr>
          <w:rFonts w:ascii="Arial" w:eastAsia="Arial" w:hAnsi="Arial" w:cs="Arial"/>
          <w:lang w:val="en-IE"/>
        </w:rPr>
        <w:t xml:space="preserve">. </w:t>
      </w:r>
    </w:p>
    <w:p w14:paraId="29993D27" w14:textId="287F3A78" w:rsidR="00491011" w:rsidRPr="002E403A" w:rsidRDefault="00491011" w:rsidP="00491011">
      <w:pPr>
        <w:pStyle w:val="ListParagraph"/>
        <w:numPr>
          <w:ilvl w:val="0"/>
          <w:numId w:val="47"/>
        </w:numPr>
        <w:rPr>
          <w:rFonts w:ascii="Arial" w:eastAsia="Arial" w:hAnsi="Arial" w:cs="Arial"/>
          <w:lang w:val="en-IE"/>
        </w:rPr>
      </w:pPr>
      <w:r w:rsidRPr="002E403A">
        <w:rPr>
          <w:rFonts w:ascii="Arial" w:eastAsia="Arial" w:hAnsi="Arial" w:cs="Arial"/>
          <w:color w:val="211D1E"/>
          <w:lang w:val="en-IE"/>
        </w:rPr>
        <w:t xml:space="preserve">As indicated in Recital (199) of the </w:t>
      </w:r>
      <w:r w:rsidR="00E84062">
        <w:rPr>
          <w:rFonts w:ascii="Arial" w:eastAsia="Arial" w:hAnsi="Arial" w:cs="Arial"/>
          <w:color w:val="211D1E"/>
          <w:lang w:val="en-IE"/>
        </w:rPr>
        <w:t>EECC</w:t>
      </w:r>
      <w:r w:rsidRPr="002E403A">
        <w:rPr>
          <w:rFonts w:ascii="Arial" w:eastAsia="Arial" w:hAnsi="Arial" w:cs="Arial"/>
          <w:color w:val="211D1E"/>
          <w:lang w:val="en-IE"/>
        </w:rPr>
        <w:t xml:space="preserve">, in exceptional circumstances the specific regulatory treatment afforded to co-investments may also apply to optical fibre elements that are deployed up to the immediate proximity (meaning just outside) of the end-user’s premises, when the SMP operator demonstrates that </w:t>
      </w:r>
      <w:r w:rsidRPr="002E403A">
        <w:rPr>
          <w:rFonts w:ascii="Arial" w:eastAsia="Arial" w:hAnsi="Arial" w:cs="Arial"/>
          <w:color w:val="211D1E"/>
          <w:lang w:val="en-GB"/>
        </w:rPr>
        <w:t>it is technically impracticable to deploy optical fibre elements up to the premises. It is worth noting that the exception foreseen in Recital (199) refers to technical issues that make the deployment up to the end-user premises or base station impracticable, and thus in principle does not apply in cases where such choice has been made due exclusively to economic considerations.</w:t>
      </w:r>
    </w:p>
    <w:p w14:paraId="76CBC98C" w14:textId="77777777" w:rsidR="00491011" w:rsidRPr="00CD7C49" w:rsidRDefault="00491011" w:rsidP="002510B0">
      <w:pPr>
        <w:keepNext/>
        <w:keepLines/>
        <w:numPr>
          <w:ilvl w:val="2"/>
          <w:numId w:val="22"/>
        </w:numPr>
        <w:spacing w:before="40" w:after="120"/>
        <w:outlineLvl w:val="2"/>
        <w:rPr>
          <w:rFonts w:eastAsia="Arial"/>
        </w:rPr>
      </w:pPr>
      <w:bookmarkStart w:id="61" w:name="_Toc31190817"/>
      <w:bookmarkStart w:id="62" w:name="_Toc36816356"/>
      <w:bookmarkStart w:id="63" w:name="_Toc36030362"/>
      <w:bookmarkStart w:id="64" w:name="_Toc38464072"/>
      <w:r w:rsidRPr="00CD7C49">
        <w:rPr>
          <w:rFonts w:ascii="Arial" w:eastAsia="Arial" w:hAnsi="Arial" w:cs="Times New Roman"/>
          <w:b/>
          <w:bCs/>
          <w:color w:val="000000"/>
          <w:sz w:val="24"/>
          <w:lang w:val="en-GB"/>
        </w:rPr>
        <w:t xml:space="preserve">What is a new VHCN for the purposes of </w:t>
      </w:r>
      <w:r w:rsidR="00FF487B" w:rsidRPr="00CD7C49">
        <w:rPr>
          <w:rFonts w:ascii="Arial" w:eastAsia="Arial" w:hAnsi="Arial" w:cs="Times New Roman"/>
          <w:b/>
          <w:bCs/>
          <w:color w:val="000000"/>
          <w:sz w:val="24"/>
          <w:lang w:val="en-GB"/>
        </w:rPr>
        <w:t>Article</w:t>
      </w:r>
      <w:r w:rsidRPr="00CD7C49">
        <w:rPr>
          <w:rFonts w:ascii="Arial" w:eastAsia="Arial" w:hAnsi="Arial" w:cs="Times New Roman"/>
          <w:b/>
          <w:bCs/>
          <w:color w:val="000000"/>
          <w:sz w:val="24"/>
          <w:lang w:val="en-GB"/>
        </w:rPr>
        <w:t xml:space="preserve"> 76</w:t>
      </w:r>
      <w:bookmarkEnd w:id="61"/>
      <w:bookmarkEnd w:id="62"/>
      <w:bookmarkEnd w:id="63"/>
      <w:bookmarkEnd w:id="64"/>
      <w:r w:rsidRPr="00CD7C49">
        <w:rPr>
          <w:rFonts w:ascii="Arial" w:eastAsia="Arial" w:hAnsi="Arial" w:cs="Times New Roman"/>
          <w:b/>
          <w:bCs/>
          <w:color w:val="000000"/>
          <w:sz w:val="24"/>
          <w:lang w:val="en-GB"/>
        </w:rPr>
        <w:t xml:space="preserve"> </w:t>
      </w:r>
    </w:p>
    <w:p w14:paraId="02FFEB89" w14:textId="633AD3B4" w:rsidR="00491011" w:rsidRPr="009E3C17" w:rsidRDefault="00491011" w:rsidP="0027611B">
      <w:pPr>
        <w:pStyle w:val="ListParagraph"/>
        <w:numPr>
          <w:ilvl w:val="0"/>
          <w:numId w:val="47"/>
        </w:numPr>
        <w:spacing w:after="60"/>
        <w:contextualSpacing w:val="0"/>
        <w:rPr>
          <w:rFonts w:ascii="Arial" w:eastAsia="Arial" w:hAnsi="Arial" w:cs="Arial"/>
          <w:color w:val="211D1E"/>
          <w:lang w:val="en-GB"/>
        </w:rPr>
      </w:pPr>
      <w:r w:rsidRPr="00FC0062">
        <w:rPr>
          <w:rFonts w:ascii="Arial" w:eastAsia="Arial" w:hAnsi="Arial" w:cs="Arial"/>
          <w:color w:val="211D1E"/>
          <w:lang w:val="en-GB"/>
        </w:rPr>
        <w:t xml:space="preserve">Regarding what should be deemed a </w:t>
      </w:r>
      <w:r w:rsidRPr="00FC0062">
        <w:rPr>
          <w:rFonts w:ascii="Arial" w:eastAsia="Arial" w:hAnsi="Arial" w:cs="Arial"/>
          <w:i/>
          <w:color w:val="211D1E"/>
          <w:lang w:val="en-GB"/>
        </w:rPr>
        <w:t>“</w:t>
      </w:r>
      <w:r w:rsidRPr="00EB0B9E">
        <w:rPr>
          <w:rFonts w:ascii="Arial" w:hAnsi="Arial"/>
          <w:color w:val="211D1E"/>
          <w:lang w:val="en-GB"/>
        </w:rPr>
        <w:t>new</w:t>
      </w:r>
      <w:r w:rsidRPr="00FC0062">
        <w:rPr>
          <w:rFonts w:ascii="Arial" w:eastAsia="Arial" w:hAnsi="Arial" w:cs="Arial"/>
          <w:i/>
          <w:color w:val="211D1E"/>
          <w:lang w:val="en-GB"/>
        </w:rPr>
        <w:t xml:space="preserve">” </w:t>
      </w:r>
      <w:r w:rsidRPr="00FC0062">
        <w:rPr>
          <w:rFonts w:ascii="Arial" w:eastAsia="Arial" w:hAnsi="Arial" w:cs="Arial"/>
          <w:color w:val="211D1E"/>
          <w:lang w:val="en-GB"/>
        </w:rPr>
        <w:t xml:space="preserve">VHCN, Recital (198) of the </w:t>
      </w:r>
      <w:r w:rsidR="00E84062">
        <w:rPr>
          <w:rFonts w:ascii="Arial" w:eastAsia="Arial" w:hAnsi="Arial" w:cs="Arial"/>
          <w:color w:val="211D1E"/>
          <w:lang w:val="en-GB"/>
        </w:rPr>
        <w:t>EECC</w:t>
      </w:r>
      <w:r w:rsidRPr="00FC0062">
        <w:rPr>
          <w:rFonts w:ascii="Arial" w:eastAsia="Arial" w:hAnsi="Arial" w:cs="Arial"/>
          <w:color w:val="211D1E"/>
          <w:lang w:val="en-GB"/>
        </w:rPr>
        <w:t xml:space="preserve"> refers to the benefits that co-investments may bring, in an economic environment that is characterized by </w:t>
      </w:r>
      <w:r w:rsidRPr="00FC0062">
        <w:rPr>
          <w:rFonts w:ascii="Arial" w:eastAsia="Arial" w:hAnsi="Arial" w:cs="Arial"/>
          <w:i/>
          <w:color w:val="211D1E"/>
          <w:lang w:val="en-GB"/>
        </w:rPr>
        <w:t>“current uncertainty”</w:t>
      </w:r>
      <w:r w:rsidRPr="00FC0062">
        <w:rPr>
          <w:rFonts w:ascii="Arial" w:eastAsia="Arial" w:hAnsi="Arial" w:cs="Arial"/>
          <w:color w:val="211D1E"/>
          <w:lang w:val="en-GB"/>
        </w:rPr>
        <w:t xml:space="preserve"> regarding</w:t>
      </w:r>
      <w:r w:rsidRPr="009E3C17">
        <w:rPr>
          <w:rFonts w:ascii="Arial" w:eastAsia="Arial" w:hAnsi="Arial" w:cs="Arial"/>
          <w:color w:val="211D1E"/>
          <w:lang w:val="en-GB"/>
        </w:rPr>
        <w:t xml:space="preserve"> the rate of materialisation of demand for very high capacity broadband services</w:t>
      </w:r>
      <w:r w:rsidR="00CE60DC">
        <w:rPr>
          <w:rFonts w:ascii="Arial" w:eastAsia="Arial" w:hAnsi="Arial" w:cs="Arial"/>
          <w:color w:val="211D1E"/>
          <w:lang w:val="en-GB"/>
        </w:rPr>
        <w:t>,</w:t>
      </w:r>
      <w:r w:rsidRPr="009E3C17">
        <w:rPr>
          <w:rFonts w:ascii="Arial" w:eastAsia="Arial" w:hAnsi="Arial" w:cs="Arial"/>
          <w:color w:val="211D1E"/>
          <w:lang w:val="en-GB"/>
        </w:rPr>
        <w:t xml:space="preserve"> as well as general economies of scale and density.</w:t>
      </w:r>
    </w:p>
    <w:p w14:paraId="2EFB9AFF" w14:textId="3699072E" w:rsidR="00491011" w:rsidRPr="009E3C17" w:rsidRDefault="00491011" w:rsidP="0027611B">
      <w:pPr>
        <w:pStyle w:val="ListParagraph"/>
        <w:numPr>
          <w:ilvl w:val="0"/>
          <w:numId w:val="47"/>
        </w:numPr>
        <w:spacing w:after="60"/>
        <w:contextualSpacing w:val="0"/>
        <w:rPr>
          <w:rFonts w:ascii="Arial" w:eastAsia="Arial" w:hAnsi="Arial" w:cs="Arial"/>
          <w:color w:val="211D1E"/>
          <w:lang w:val="en-GB"/>
        </w:rPr>
      </w:pPr>
      <w:r w:rsidRPr="009E3C17">
        <w:rPr>
          <w:rFonts w:ascii="Arial" w:eastAsia="Arial" w:hAnsi="Arial" w:cs="Arial"/>
          <w:color w:val="211D1E"/>
          <w:lang w:val="en-GB"/>
        </w:rPr>
        <w:t xml:space="preserve">The purpose of </w:t>
      </w:r>
      <w:r w:rsidR="00FF487B">
        <w:rPr>
          <w:rFonts w:ascii="Arial" w:eastAsia="Arial" w:hAnsi="Arial" w:cs="Arial"/>
          <w:color w:val="211D1E"/>
          <w:lang w:val="en-GB"/>
        </w:rPr>
        <w:t>Article</w:t>
      </w:r>
      <w:r w:rsidRPr="009E3C17">
        <w:rPr>
          <w:rFonts w:ascii="Arial" w:eastAsia="Arial" w:hAnsi="Arial" w:cs="Arial"/>
          <w:color w:val="211D1E"/>
          <w:lang w:val="en-GB"/>
        </w:rPr>
        <w:t xml:space="preserve"> 76 is thus to overcome such existing uncertainty, by affording a </w:t>
      </w:r>
      <w:r>
        <w:rPr>
          <w:rFonts w:ascii="Arial" w:eastAsia="Arial" w:hAnsi="Arial" w:cs="Arial"/>
          <w:color w:val="211D1E"/>
          <w:lang w:val="en-GB"/>
        </w:rPr>
        <w:t>specific</w:t>
      </w:r>
      <w:r w:rsidRPr="009E3C17">
        <w:rPr>
          <w:rFonts w:ascii="Arial" w:eastAsia="Arial" w:hAnsi="Arial" w:cs="Arial"/>
          <w:color w:val="211D1E"/>
          <w:lang w:val="en-GB"/>
        </w:rPr>
        <w:t xml:space="preserve"> regulatory treatment to new </w:t>
      </w:r>
      <w:r>
        <w:rPr>
          <w:rFonts w:ascii="Arial" w:eastAsia="Arial" w:hAnsi="Arial" w:cs="Arial"/>
          <w:color w:val="211D1E"/>
          <w:lang w:val="en-GB"/>
        </w:rPr>
        <w:t>VHCN</w:t>
      </w:r>
      <w:r w:rsidRPr="009E3C17">
        <w:rPr>
          <w:rFonts w:ascii="Arial" w:eastAsia="Arial" w:hAnsi="Arial" w:cs="Arial"/>
          <w:color w:val="211D1E"/>
          <w:lang w:val="en-GB"/>
        </w:rPr>
        <w:t xml:space="preserve"> that </w:t>
      </w:r>
      <w:r>
        <w:rPr>
          <w:rFonts w:ascii="Arial" w:eastAsia="Arial" w:hAnsi="Arial" w:cs="Arial"/>
          <w:color w:val="211D1E"/>
          <w:lang w:val="en-GB"/>
        </w:rPr>
        <w:t>meet certain requirements, and that are deployed on the basis of co-investment agreements</w:t>
      </w:r>
      <w:r>
        <w:rPr>
          <w:rStyle w:val="FootnoteReference"/>
          <w:rFonts w:ascii="Arial" w:eastAsia="Arial" w:hAnsi="Arial" w:cs="Arial"/>
          <w:color w:val="211D1E"/>
          <w:lang w:val="en-GB"/>
        </w:rPr>
        <w:footnoteReference w:id="10"/>
      </w:r>
      <w:r w:rsidRPr="009E3C17">
        <w:rPr>
          <w:rFonts w:ascii="Arial" w:eastAsia="Arial" w:hAnsi="Arial" w:cs="Arial"/>
          <w:color w:val="211D1E"/>
          <w:lang w:val="en-GB"/>
        </w:rPr>
        <w:t>.</w:t>
      </w:r>
      <w:r>
        <w:rPr>
          <w:rFonts w:ascii="Arial" w:eastAsia="Arial" w:hAnsi="Arial" w:cs="Arial"/>
          <w:color w:val="211D1E"/>
          <w:lang w:val="en-GB"/>
        </w:rPr>
        <w:t xml:space="preserve"> As noted in Recital (198), it is assumed that co-investments offer significant</w:t>
      </w:r>
      <w:r w:rsidRPr="009947D6">
        <w:t xml:space="preserve"> </w:t>
      </w:r>
      <w:r w:rsidRPr="009947D6">
        <w:rPr>
          <w:rFonts w:ascii="Arial" w:eastAsia="Arial" w:hAnsi="Arial" w:cs="Arial"/>
          <w:color w:val="211D1E"/>
          <w:lang w:val="en-GB"/>
        </w:rPr>
        <w:t xml:space="preserve">benefits </w:t>
      </w:r>
      <w:r>
        <w:rPr>
          <w:rFonts w:ascii="Arial" w:eastAsia="Arial" w:hAnsi="Arial" w:cs="Arial"/>
          <w:color w:val="211D1E"/>
          <w:lang w:val="en-GB"/>
        </w:rPr>
        <w:t>in terms of pooling of</w:t>
      </w:r>
      <w:r w:rsidRPr="009947D6">
        <w:rPr>
          <w:rFonts w:ascii="Arial" w:eastAsia="Arial" w:hAnsi="Arial" w:cs="Arial"/>
          <w:color w:val="211D1E"/>
          <w:lang w:val="en-GB"/>
        </w:rPr>
        <w:t xml:space="preserve"> costs and risks</w:t>
      </w:r>
      <w:r>
        <w:rPr>
          <w:rFonts w:ascii="Arial" w:eastAsia="Arial" w:hAnsi="Arial" w:cs="Arial"/>
          <w:color w:val="211D1E"/>
          <w:lang w:val="en-GB"/>
        </w:rPr>
        <w:t xml:space="preserve">, enabling smaller-scale undertakings to invest on economically </w:t>
      </w:r>
      <w:r w:rsidR="00CE60DC">
        <w:rPr>
          <w:rFonts w:ascii="Arial" w:eastAsia="Arial" w:hAnsi="Arial" w:cs="Arial"/>
          <w:color w:val="211D1E"/>
          <w:lang w:val="en-GB"/>
        </w:rPr>
        <w:t xml:space="preserve">reasonable </w:t>
      </w:r>
      <w:r>
        <w:rPr>
          <w:rFonts w:ascii="Arial" w:eastAsia="Arial" w:hAnsi="Arial" w:cs="Arial"/>
          <w:color w:val="211D1E"/>
          <w:lang w:val="en-GB"/>
        </w:rPr>
        <w:t>terms and thus promoting sustainable, long-term competition</w:t>
      </w:r>
      <w:r w:rsidRPr="009E3C17">
        <w:rPr>
          <w:rFonts w:ascii="Arial" w:eastAsia="Arial" w:hAnsi="Arial" w:cs="Arial"/>
          <w:color w:val="211D1E"/>
          <w:lang w:val="en-GB"/>
        </w:rPr>
        <w:t xml:space="preserve">. </w:t>
      </w:r>
    </w:p>
    <w:p w14:paraId="0575F346" w14:textId="7BC55284" w:rsidR="00491011" w:rsidRPr="009E3C17" w:rsidRDefault="00491011" w:rsidP="0027611B">
      <w:pPr>
        <w:pStyle w:val="ListParagraph"/>
        <w:numPr>
          <w:ilvl w:val="0"/>
          <w:numId w:val="47"/>
        </w:numPr>
        <w:spacing w:after="60"/>
        <w:contextualSpacing w:val="0"/>
        <w:rPr>
          <w:rFonts w:ascii="Arial" w:eastAsia="Arial" w:hAnsi="Arial" w:cs="Arial"/>
          <w:color w:val="211D1E"/>
          <w:lang w:val="en-GB"/>
        </w:rPr>
      </w:pPr>
      <w:bookmarkStart w:id="65" w:name="_Ref36563839"/>
      <w:r>
        <w:rPr>
          <w:rFonts w:ascii="Arial" w:eastAsia="Arial" w:hAnsi="Arial" w:cs="Arial"/>
          <w:color w:val="211D1E"/>
          <w:lang w:val="en-GB"/>
        </w:rPr>
        <w:t>The specific</w:t>
      </w:r>
      <w:r w:rsidRPr="009E3C17">
        <w:rPr>
          <w:rFonts w:ascii="Arial" w:eastAsia="Arial" w:hAnsi="Arial" w:cs="Arial"/>
          <w:color w:val="211D1E"/>
          <w:lang w:val="en-GB"/>
        </w:rPr>
        <w:t xml:space="preserve"> regulatory treatment </w:t>
      </w:r>
      <w:r>
        <w:rPr>
          <w:rFonts w:ascii="Arial" w:eastAsia="Arial" w:hAnsi="Arial" w:cs="Arial"/>
          <w:color w:val="211D1E"/>
          <w:lang w:val="en-GB"/>
        </w:rPr>
        <w:t xml:space="preserve">foreseen in </w:t>
      </w:r>
      <w:r w:rsidR="00FF487B">
        <w:rPr>
          <w:rFonts w:ascii="Arial" w:eastAsia="Arial" w:hAnsi="Arial" w:cs="Arial"/>
          <w:color w:val="211D1E"/>
          <w:lang w:val="en-GB"/>
        </w:rPr>
        <w:t>Article</w:t>
      </w:r>
      <w:r>
        <w:rPr>
          <w:rFonts w:ascii="Arial" w:eastAsia="Arial" w:hAnsi="Arial" w:cs="Arial"/>
          <w:color w:val="211D1E"/>
          <w:lang w:val="en-GB"/>
        </w:rPr>
        <w:t xml:space="preserve"> 76 </w:t>
      </w:r>
      <w:r w:rsidRPr="009E3C17">
        <w:rPr>
          <w:rFonts w:ascii="Arial" w:eastAsia="Arial" w:hAnsi="Arial" w:cs="Arial"/>
          <w:color w:val="211D1E"/>
          <w:lang w:val="en-GB"/>
        </w:rPr>
        <w:t xml:space="preserve">should be exclusively granted to </w:t>
      </w:r>
      <w:r>
        <w:rPr>
          <w:rFonts w:ascii="Arial" w:eastAsia="Arial" w:hAnsi="Arial" w:cs="Arial"/>
          <w:color w:val="211D1E"/>
          <w:lang w:val="en-GB"/>
        </w:rPr>
        <w:t xml:space="preserve">VHCN </w:t>
      </w:r>
      <w:r w:rsidRPr="009E3C17">
        <w:rPr>
          <w:rFonts w:ascii="Arial" w:eastAsia="Arial" w:hAnsi="Arial" w:cs="Arial"/>
          <w:color w:val="211D1E"/>
          <w:lang w:val="en-GB"/>
        </w:rPr>
        <w:t xml:space="preserve">that are “new”, not to </w:t>
      </w:r>
      <w:r>
        <w:rPr>
          <w:rFonts w:ascii="Arial" w:eastAsia="Arial" w:hAnsi="Arial" w:cs="Arial"/>
          <w:color w:val="211D1E"/>
          <w:lang w:val="en-GB"/>
        </w:rPr>
        <w:t xml:space="preserve">the roll-out of VHCN </w:t>
      </w:r>
      <w:r w:rsidRPr="009E3C17">
        <w:rPr>
          <w:rFonts w:ascii="Arial" w:eastAsia="Arial" w:hAnsi="Arial" w:cs="Arial"/>
          <w:color w:val="211D1E"/>
          <w:lang w:val="en-GB"/>
        </w:rPr>
        <w:t xml:space="preserve">that </w:t>
      </w:r>
      <w:r>
        <w:rPr>
          <w:rFonts w:ascii="Arial" w:eastAsia="Arial" w:hAnsi="Arial" w:cs="Arial"/>
          <w:color w:val="211D1E"/>
          <w:lang w:val="en-GB"/>
        </w:rPr>
        <w:t xml:space="preserve">were </w:t>
      </w:r>
      <w:r w:rsidRPr="00B965DB">
        <w:rPr>
          <w:rFonts w:ascii="Arial" w:eastAsia="Arial" w:hAnsi="Arial" w:cs="Arial"/>
          <w:color w:val="211D1E"/>
          <w:lang w:val="en-GB"/>
        </w:rPr>
        <w:t>publicly announced</w:t>
      </w:r>
      <w:r>
        <w:rPr>
          <w:rFonts w:ascii="Arial" w:eastAsia="Arial" w:hAnsi="Arial" w:cs="Arial"/>
          <w:color w:val="211D1E"/>
          <w:lang w:val="en-GB"/>
        </w:rPr>
        <w:t xml:space="preserve"> </w:t>
      </w:r>
      <w:r w:rsidRPr="009E3C17">
        <w:rPr>
          <w:rFonts w:ascii="Arial" w:eastAsia="Arial" w:hAnsi="Arial" w:cs="Arial"/>
          <w:color w:val="211D1E"/>
          <w:lang w:val="en-GB"/>
        </w:rPr>
        <w:t xml:space="preserve">before the </w:t>
      </w:r>
      <w:r w:rsidR="00E84062">
        <w:rPr>
          <w:rFonts w:ascii="Arial" w:eastAsia="Arial" w:hAnsi="Arial" w:cs="Arial"/>
          <w:color w:val="211D1E"/>
          <w:lang w:val="en-GB"/>
        </w:rPr>
        <w:t>EECC</w:t>
      </w:r>
      <w:r w:rsidRPr="009E3C17">
        <w:rPr>
          <w:rFonts w:ascii="Arial" w:eastAsia="Arial" w:hAnsi="Arial" w:cs="Arial"/>
          <w:color w:val="211D1E"/>
          <w:lang w:val="en-GB"/>
        </w:rPr>
        <w:t xml:space="preserve"> </w:t>
      </w:r>
      <w:r>
        <w:rPr>
          <w:rFonts w:ascii="Arial" w:eastAsia="Arial" w:hAnsi="Arial" w:cs="Arial"/>
          <w:color w:val="211D1E"/>
          <w:lang w:val="en-GB"/>
        </w:rPr>
        <w:t xml:space="preserve">entered into force in December 2018 (as detailed further below in para. </w:t>
      </w:r>
      <w:r>
        <w:rPr>
          <w:rFonts w:ascii="Arial" w:eastAsia="Arial" w:hAnsi="Arial" w:cs="Arial"/>
          <w:color w:val="211D1E"/>
          <w:lang w:val="en-GB"/>
        </w:rPr>
        <w:fldChar w:fldCharType="begin"/>
      </w:r>
      <w:r>
        <w:rPr>
          <w:rFonts w:ascii="Arial" w:eastAsia="Arial" w:hAnsi="Arial" w:cs="Arial"/>
          <w:color w:val="211D1E"/>
          <w:lang w:val="en-GB"/>
        </w:rPr>
        <w:instrText xml:space="preserve"> REF _Ref37402851 \r \h </w:instrText>
      </w:r>
      <w:r>
        <w:rPr>
          <w:rFonts w:ascii="Arial" w:eastAsia="Arial" w:hAnsi="Arial" w:cs="Arial"/>
          <w:color w:val="211D1E"/>
          <w:lang w:val="en-GB"/>
        </w:rPr>
      </w:r>
      <w:r>
        <w:rPr>
          <w:rFonts w:ascii="Arial" w:eastAsia="Arial" w:hAnsi="Arial" w:cs="Arial"/>
          <w:color w:val="211D1E"/>
          <w:lang w:val="en-GB"/>
        </w:rPr>
        <w:fldChar w:fldCharType="separate"/>
      </w:r>
      <w:r w:rsidR="00F645A3">
        <w:rPr>
          <w:rFonts w:ascii="Arial" w:eastAsia="Arial" w:hAnsi="Arial" w:cs="Arial"/>
          <w:color w:val="211D1E"/>
          <w:lang w:val="en-GB"/>
        </w:rPr>
        <w:t>(22)</w:t>
      </w:r>
      <w:r>
        <w:rPr>
          <w:rFonts w:ascii="Arial" w:eastAsia="Arial" w:hAnsi="Arial" w:cs="Arial"/>
          <w:color w:val="211D1E"/>
          <w:lang w:val="en-GB"/>
        </w:rPr>
        <w:fldChar w:fldCharType="end"/>
      </w:r>
      <w:r>
        <w:rPr>
          <w:rFonts w:ascii="Arial" w:eastAsia="Arial" w:hAnsi="Arial" w:cs="Arial"/>
          <w:color w:val="211D1E"/>
          <w:lang w:val="en-GB"/>
        </w:rPr>
        <w:t>)</w:t>
      </w:r>
      <w:r w:rsidRPr="009E3C17">
        <w:rPr>
          <w:rFonts w:ascii="Arial" w:eastAsia="Arial" w:hAnsi="Arial" w:cs="Arial"/>
          <w:color w:val="211D1E"/>
          <w:lang w:val="en-GB"/>
        </w:rPr>
        <w:t xml:space="preserve">. In </w:t>
      </w:r>
      <w:r>
        <w:rPr>
          <w:rFonts w:ascii="Arial" w:eastAsia="Arial" w:hAnsi="Arial" w:cs="Arial"/>
          <w:color w:val="211D1E"/>
          <w:lang w:val="en-GB"/>
        </w:rPr>
        <w:t>those</w:t>
      </w:r>
      <w:r w:rsidRPr="009E3C17">
        <w:rPr>
          <w:rFonts w:ascii="Arial" w:eastAsia="Arial" w:hAnsi="Arial" w:cs="Arial"/>
          <w:color w:val="211D1E"/>
          <w:lang w:val="en-GB"/>
        </w:rPr>
        <w:t xml:space="preserve"> cases, the SMP operator already decided to undertake the investment, without </w:t>
      </w:r>
      <w:r>
        <w:rPr>
          <w:rFonts w:ascii="Arial" w:eastAsia="Arial" w:hAnsi="Arial" w:cs="Arial"/>
          <w:color w:val="211D1E"/>
          <w:lang w:val="en-GB"/>
        </w:rPr>
        <w:t>considering</w:t>
      </w:r>
      <w:r w:rsidRPr="009E3C17">
        <w:rPr>
          <w:rFonts w:ascii="Arial" w:eastAsia="Arial" w:hAnsi="Arial" w:cs="Arial"/>
          <w:color w:val="211D1E"/>
          <w:lang w:val="en-GB"/>
        </w:rPr>
        <w:t xml:space="preserve"> the </w:t>
      </w:r>
      <w:r w:rsidRPr="009E3C17">
        <w:rPr>
          <w:rFonts w:ascii="Arial" w:eastAsia="Arial" w:hAnsi="Arial" w:cs="Arial"/>
          <w:lang w:val="en-GB"/>
        </w:rPr>
        <w:t xml:space="preserve">additional regulatory incentives that the </w:t>
      </w:r>
      <w:r w:rsidR="00E84062">
        <w:rPr>
          <w:rFonts w:ascii="Arial" w:eastAsia="Arial" w:hAnsi="Arial" w:cs="Arial"/>
          <w:lang w:val="en-GB"/>
        </w:rPr>
        <w:t>EECC</w:t>
      </w:r>
      <w:r w:rsidRPr="009E3C17">
        <w:rPr>
          <w:rFonts w:ascii="Arial" w:eastAsia="Arial" w:hAnsi="Arial" w:cs="Arial"/>
          <w:lang w:val="en-GB"/>
        </w:rPr>
        <w:t xml:space="preserve"> provides for</w:t>
      </w:r>
      <w:r>
        <w:rPr>
          <w:rStyle w:val="FootnoteReference"/>
          <w:rFonts w:ascii="Arial" w:eastAsia="Arial" w:hAnsi="Arial" w:cs="Arial"/>
          <w:color w:val="211D1E"/>
          <w:lang w:val="en-GB"/>
        </w:rPr>
        <w:footnoteReference w:id="11"/>
      </w:r>
      <w:r w:rsidRPr="009E3C17">
        <w:rPr>
          <w:rFonts w:ascii="Arial" w:eastAsia="Arial" w:hAnsi="Arial" w:cs="Arial"/>
          <w:lang w:val="en-GB"/>
        </w:rPr>
        <w:t>.</w:t>
      </w:r>
      <w:bookmarkEnd w:id="65"/>
    </w:p>
    <w:p w14:paraId="19026540" w14:textId="4434A051" w:rsidR="00491011" w:rsidRDefault="00491011" w:rsidP="002510B0">
      <w:pPr>
        <w:pStyle w:val="ListParagraph"/>
        <w:numPr>
          <w:ilvl w:val="0"/>
          <w:numId w:val="47"/>
        </w:numPr>
        <w:rPr>
          <w:rFonts w:ascii="Arial" w:eastAsia="Arial" w:hAnsi="Arial" w:cs="Arial"/>
          <w:color w:val="211D1E"/>
          <w:lang w:val="en-GB"/>
        </w:rPr>
      </w:pPr>
      <w:r>
        <w:rPr>
          <w:rFonts w:ascii="Arial" w:eastAsia="Arial" w:hAnsi="Arial" w:cs="Arial"/>
          <w:color w:val="211D1E"/>
          <w:lang w:val="en-GB"/>
        </w:rPr>
        <w:t>T</w:t>
      </w:r>
      <w:r w:rsidRPr="009E3C17">
        <w:rPr>
          <w:rFonts w:ascii="Arial" w:eastAsia="Arial" w:hAnsi="Arial" w:cs="Arial"/>
          <w:color w:val="211D1E"/>
          <w:lang w:val="en-GB"/>
        </w:rPr>
        <w:t xml:space="preserve">he goal of </w:t>
      </w:r>
      <w:r w:rsidR="00FF487B">
        <w:rPr>
          <w:rFonts w:ascii="Arial" w:eastAsia="Arial" w:hAnsi="Arial" w:cs="Arial"/>
          <w:color w:val="211D1E"/>
          <w:lang w:val="en-GB"/>
        </w:rPr>
        <w:t>Article</w:t>
      </w:r>
      <w:r w:rsidRPr="009E3C17">
        <w:rPr>
          <w:rFonts w:ascii="Arial" w:eastAsia="Arial" w:hAnsi="Arial" w:cs="Arial"/>
          <w:color w:val="211D1E"/>
          <w:lang w:val="en-GB"/>
        </w:rPr>
        <w:t xml:space="preserve"> 76 is </w:t>
      </w:r>
      <w:r>
        <w:rPr>
          <w:rFonts w:ascii="Arial" w:eastAsia="Arial" w:hAnsi="Arial" w:cs="Arial"/>
          <w:color w:val="211D1E"/>
          <w:lang w:val="en-GB"/>
        </w:rPr>
        <w:t xml:space="preserve">thus </w:t>
      </w:r>
      <w:r w:rsidRPr="009E3C17">
        <w:rPr>
          <w:rFonts w:ascii="Arial" w:eastAsia="Arial" w:hAnsi="Arial" w:cs="Arial"/>
          <w:color w:val="211D1E"/>
          <w:lang w:val="en-GB"/>
        </w:rPr>
        <w:t xml:space="preserve">to </w:t>
      </w:r>
      <w:r w:rsidRPr="002510B0">
        <w:rPr>
          <w:rFonts w:ascii="Arial" w:eastAsia="Arial" w:hAnsi="Arial" w:cs="Arial"/>
          <w:color w:val="211D1E"/>
          <w:lang w:val="en-GB"/>
        </w:rPr>
        <w:t>induce</w:t>
      </w:r>
      <w:r w:rsidRPr="009E3C17">
        <w:rPr>
          <w:rFonts w:ascii="Arial" w:eastAsia="Arial" w:hAnsi="Arial" w:cs="Arial"/>
          <w:color w:val="211D1E"/>
          <w:lang w:val="en-GB"/>
        </w:rPr>
        <w:t xml:space="preserve"> investments in </w:t>
      </w:r>
      <w:r>
        <w:rPr>
          <w:rFonts w:ascii="Arial" w:eastAsia="Arial" w:hAnsi="Arial" w:cs="Arial"/>
          <w:color w:val="211D1E"/>
          <w:lang w:val="en-GB"/>
        </w:rPr>
        <w:t>new</w:t>
      </w:r>
      <w:r w:rsidRPr="009E3C17">
        <w:rPr>
          <w:rFonts w:ascii="Arial" w:eastAsia="Arial" w:hAnsi="Arial" w:cs="Arial"/>
          <w:color w:val="211D1E"/>
          <w:lang w:val="en-GB"/>
        </w:rPr>
        <w:t xml:space="preserve"> </w:t>
      </w:r>
      <w:r w:rsidRPr="008D5996">
        <w:rPr>
          <w:rFonts w:ascii="Arial" w:eastAsia="Arial" w:hAnsi="Arial" w:cs="Arial"/>
          <w:color w:val="211D1E"/>
          <w:lang w:val="en-GB"/>
        </w:rPr>
        <w:t>VHCN elements, not to create windfall effects</w:t>
      </w:r>
      <w:r w:rsidRPr="002510B0">
        <w:rPr>
          <w:rFonts w:ascii="Arial" w:eastAsia="Arial" w:hAnsi="Arial" w:cs="Arial"/>
          <w:color w:val="211D1E"/>
          <w:vertAlign w:val="superscript"/>
          <w:lang w:val="en-GB"/>
        </w:rPr>
        <w:footnoteReference w:id="12"/>
      </w:r>
      <w:r w:rsidRPr="008D5996">
        <w:rPr>
          <w:rFonts w:ascii="Arial" w:eastAsia="Arial" w:hAnsi="Arial" w:cs="Arial"/>
          <w:color w:val="211D1E"/>
          <w:lang w:val="en-GB"/>
        </w:rPr>
        <w:t xml:space="preserve"> for investments that </w:t>
      </w:r>
      <w:r>
        <w:rPr>
          <w:rFonts w:ascii="Arial" w:eastAsia="Arial" w:hAnsi="Arial" w:cs="Arial"/>
          <w:color w:val="211D1E"/>
          <w:lang w:val="en-GB"/>
        </w:rPr>
        <w:t xml:space="preserve">were publicly announced before the </w:t>
      </w:r>
      <w:r w:rsidR="00E84062">
        <w:rPr>
          <w:rFonts w:ascii="Arial" w:eastAsia="Arial" w:hAnsi="Arial" w:cs="Arial"/>
          <w:color w:val="211D1E"/>
          <w:lang w:val="en-GB"/>
        </w:rPr>
        <w:t>EECC</w:t>
      </w:r>
      <w:r>
        <w:rPr>
          <w:rFonts w:ascii="Arial" w:eastAsia="Arial" w:hAnsi="Arial" w:cs="Arial"/>
          <w:color w:val="211D1E"/>
          <w:lang w:val="en-GB"/>
        </w:rPr>
        <w:t xml:space="preserve"> entered into force</w:t>
      </w:r>
      <w:r w:rsidRPr="008D5996">
        <w:rPr>
          <w:rFonts w:ascii="Arial" w:eastAsia="Arial" w:hAnsi="Arial" w:cs="Arial"/>
          <w:color w:val="211D1E"/>
          <w:lang w:val="en-GB"/>
        </w:rPr>
        <w:t>.</w:t>
      </w:r>
      <w:r>
        <w:rPr>
          <w:rFonts w:ascii="Arial" w:eastAsia="Arial" w:hAnsi="Arial" w:cs="Arial"/>
          <w:color w:val="211D1E"/>
          <w:lang w:val="en-GB"/>
        </w:rPr>
        <w:t xml:space="preserve"> </w:t>
      </w:r>
    </w:p>
    <w:p w14:paraId="0BF31129" w14:textId="77777777" w:rsidR="00491011" w:rsidRPr="00CD7C49" w:rsidRDefault="00491011" w:rsidP="002510B0">
      <w:pPr>
        <w:keepNext/>
        <w:keepLines/>
        <w:numPr>
          <w:ilvl w:val="2"/>
          <w:numId w:val="22"/>
        </w:numPr>
        <w:spacing w:before="40" w:after="120"/>
        <w:outlineLvl w:val="2"/>
        <w:rPr>
          <w:rFonts w:eastAsia="Arial"/>
        </w:rPr>
      </w:pPr>
      <w:bookmarkStart w:id="66" w:name="_Toc31190818"/>
      <w:bookmarkStart w:id="67" w:name="_Toc36816357"/>
      <w:bookmarkStart w:id="68" w:name="_Toc36030363"/>
      <w:bookmarkStart w:id="69" w:name="_Toc38464073"/>
      <w:r w:rsidRPr="00CD7C49">
        <w:rPr>
          <w:rFonts w:ascii="Arial" w:eastAsia="Arial" w:hAnsi="Arial" w:cs="Times New Roman"/>
          <w:b/>
          <w:bCs/>
          <w:color w:val="000000"/>
          <w:sz w:val="24"/>
          <w:lang w:val="en-GB"/>
        </w:rPr>
        <w:lastRenderedPageBreak/>
        <w:t>Timing for making an offer to co-invest</w:t>
      </w:r>
      <w:bookmarkEnd w:id="66"/>
      <w:bookmarkEnd w:id="67"/>
      <w:bookmarkEnd w:id="68"/>
      <w:bookmarkEnd w:id="69"/>
    </w:p>
    <w:p w14:paraId="06E5FB42" w14:textId="6D290758" w:rsidR="00491011" w:rsidRPr="0082710D" w:rsidRDefault="00491011" w:rsidP="0027611B">
      <w:pPr>
        <w:pStyle w:val="ListParagraph"/>
        <w:numPr>
          <w:ilvl w:val="0"/>
          <w:numId w:val="47"/>
        </w:numPr>
        <w:spacing w:after="60"/>
        <w:contextualSpacing w:val="0"/>
        <w:rPr>
          <w:rFonts w:ascii="Arial" w:eastAsia="Arial" w:hAnsi="Arial" w:cs="Arial"/>
          <w:color w:val="211D1E"/>
          <w:lang w:val="en-GB"/>
        </w:rPr>
      </w:pPr>
      <w:r w:rsidRPr="00442E74">
        <w:rPr>
          <w:rFonts w:ascii="Arial" w:eastAsia="Arial" w:hAnsi="Arial" w:cs="Arial"/>
          <w:color w:val="211D1E"/>
          <w:lang w:val="en-GB"/>
        </w:rPr>
        <w:t>BEREC understands that</w:t>
      </w:r>
      <w:r w:rsidRPr="0082710D">
        <w:rPr>
          <w:rFonts w:ascii="Arial" w:eastAsia="Arial" w:hAnsi="Arial" w:cs="Arial"/>
          <w:color w:val="211D1E"/>
          <w:lang w:val="en-GB"/>
        </w:rPr>
        <w:t xml:space="preserve"> </w:t>
      </w:r>
      <w:r w:rsidR="00FF487B">
        <w:rPr>
          <w:rFonts w:ascii="Arial" w:eastAsia="Arial" w:hAnsi="Arial" w:cs="Arial"/>
          <w:color w:val="211D1E"/>
          <w:lang w:val="en-GB"/>
        </w:rPr>
        <w:t>Article</w:t>
      </w:r>
      <w:r w:rsidRPr="0082710D">
        <w:rPr>
          <w:rFonts w:ascii="Arial" w:eastAsia="Arial" w:hAnsi="Arial" w:cs="Arial"/>
          <w:color w:val="211D1E"/>
          <w:lang w:val="en-GB"/>
        </w:rPr>
        <w:t xml:space="preserve"> 76 covers co-investment offers in a new VHCN that might have been </w:t>
      </w:r>
      <w:r>
        <w:rPr>
          <w:rFonts w:ascii="Arial" w:eastAsia="Arial" w:hAnsi="Arial" w:cs="Arial"/>
          <w:color w:val="211D1E"/>
          <w:lang w:val="en-GB"/>
        </w:rPr>
        <w:t>publicly announced</w:t>
      </w:r>
      <w:r w:rsidR="001B7388">
        <w:rPr>
          <w:rFonts w:ascii="Arial" w:eastAsia="Arial" w:hAnsi="Arial" w:cs="Arial"/>
          <w:color w:val="211D1E"/>
          <w:lang w:val="en-GB"/>
        </w:rPr>
        <w:t xml:space="preserve"> </w:t>
      </w:r>
      <w:r w:rsidRPr="0082710D">
        <w:rPr>
          <w:rFonts w:ascii="Arial" w:eastAsia="Arial" w:hAnsi="Arial" w:cs="Arial"/>
          <w:color w:val="211D1E"/>
          <w:u w:val="single"/>
          <w:lang w:val="en-GB"/>
        </w:rPr>
        <w:t>after</w:t>
      </w:r>
      <w:r w:rsidRPr="0082710D">
        <w:rPr>
          <w:rFonts w:ascii="Arial" w:eastAsia="Arial" w:hAnsi="Arial" w:cs="Arial"/>
          <w:color w:val="211D1E"/>
          <w:lang w:val="en-GB"/>
        </w:rPr>
        <w:t xml:space="preserve"> the </w:t>
      </w:r>
      <w:r w:rsidR="00E84062">
        <w:rPr>
          <w:rFonts w:ascii="Arial" w:eastAsia="Arial" w:hAnsi="Arial" w:cs="Arial"/>
          <w:color w:val="211D1E"/>
          <w:lang w:val="en-GB"/>
        </w:rPr>
        <w:t>EECC</w:t>
      </w:r>
      <w:r w:rsidRPr="0082710D">
        <w:rPr>
          <w:rFonts w:ascii="Arial" w:eastAsia="Arial" w:hAnsi="Arial" w:cs="Arial"/>
          <w:color w:val="211D1E"/>
          <w:lang w:val="en-GB"/>
        </w:rPr>
        <w:t xml:space="preserve"> provisions entered into force (December 2018), but </w:t>
      </w:r>
      <w:r w:rsidRPr="002237C1">
        <w:rPr>
          <w:rFonts w:ascii="Arial" w:eastAsia="Arial" w:hAnsi="Arial" w:cs="Arial"/>
          <w:color w:val="211D1E"/>
          <w:u w:val="single"/>
          <w:lang w:val="en-GB"/>
        </w:rPr>
        <w:t>before</w:t>
      </w:r>
      <w:r w:rsidRPr="002237C1">
        <w:rPr>
          <w:rFonts w:ascii="Arial" w:eastAsia="Arial" w:hAnsi="Arial" w:cs="Arial"/>
          <w:color w:val="211D1E"/>
          <w:lang w:val="en-GB"/>
        </w:rPr>
        <w:t xml:space="preserve"> the measures contained in the </w:t>
      </w:r>
      <w:r w:rsidR="00E84062">
        <w:rPr>
          <w:rFonts w:ascii="Arial" w:eastAsia="Arial" w:hAnsi="Arial" w:cs="Arial"/>
          <w:color w:val="211D1E"/>
          <w:lang w:val="en-GB"/>
        </w:rPr>
        <w:t>EECC</w:t>
      </w:r>
      <w:r w:rsidRPr="002237C1">
        <w:rPr>
          <w:rFonts w:ascii="Arial" w:eastAsia="Arial" w:hAnsi="Arial" w:cs="Arial"/>
          <w:color w:val="211D1E"/>
          <w:lang w:val="en-GB"/>
        </w:rPr>
        <w:t xml:space="preserve"> are </w:t>
      </w:r>
      <w:r w:rsidR="006B794E">
        <w:rPr>
          <w:rFonts w:ascii="Arial" w:eastAsia="Arial" w:hAnsi="Arial" w:cs="Arial"/>
          <w:color w:val="211D1E"/>
          <w:lang w:val="en-GB"/>
        </w:rPr>
        <w:t>transposed into national law</w:t>
      </w:r>
      <w:r w:rsidRPr="002237C1">
        <w:rPr>
          <w:rFonts w:ascii="Arial" w:eastAsia="Arial" w:hAnsi="Arial" w:cs="Arial"/>
          <w:color w:val="211D1E"/>
          <w:lang w:val="en-GB"/>
        </w:rPr>
        <w:t xml:space="preserve"> (21</w:t>
      </w:r>
      <w:r w:rsidRPr="0016307C">
        <w:rPr>
          <w:rFonts w:ascii="Arial" w:eastAsia="Arial" w:hAnsi="Arial" w:cs="Arial"/>
          <w:color w:val="211D1E"/>
          <w:vertAlign w:val="superscript"/>
          <w:lang w:val="en-GB"/>
        </w:rPr>
        <w:t>st</w:t>
      </w:r>
      <w:r w:rsidRPr="0082710D">
        <w:rPr>
          <w:rFonts w:ascii="Arial" w:eastAsia="Arial" w:hAnsi="Arial" w:cs="Arial"/>
          <w:color w:val="211D1E"/>
          <w:lang w:val="en-GB"/>
        </w:rPr>
        <w:t xml:space="preserve"> December 2020).</w:t>
      </w:r>
      <w:r w:rsidR="001B7388">
        <w:rPr>
          <w:rFonts w:ascii="Arial" w:eastAsia="Arial" w:hAnsi="Arial" w:cs="Arial"/>
          <w:color w:val="211D1E"/>
          <w:lang w:val="en-GB"/>
        </w:rPr>
        <w:t xml:space="preserve"> </w:t>
      </w:r>
      <w:r w:rsidRPr="0016307C">
        <w:rPr>
          <w:rFonts w:ascii="Arial" w:hAnsi="Arial" w:cs="Arial"/>
        </w:rPr>
        <w:t xml:space="preserve">For the </w:t>
      </w:r>
      <w:r>
        <w:rPr>
          <w:rFonts w:ascii="Arial" w:hAnsi="Arial" w:cs="Arial"/>
        </w:rPr>
        <w:t>sake of clarity</w:t>
      </w:r>
      <w:r w:rsidRPr="0016307C">
        <w:rPr>
          <w:rFonts w:ascii="Arial" w:hAnsi="Arial" w:cs="Arial"/>
        </w:rPr>
        <w:t xml:space="preserve">, what is being discussed is whether the offer to co-invest in a new VHCN made by the SMP operator at that point in time might qualify for the specific regulatory treatment foreseen for new VHCN under </w:t>
      </w:r>
      <w:r w:rsidR="00FF487B">
        <w:rPr>
          <w:rFonts w:ascii="Arial" w:hAnsi="Arial" w:cs="Arial"/>
        </w:rPr>
        <w:t>Article</w:t>
      </w:r>
      <w:r w:rsidRPr="0016307C">
        <w:rPr>
          <w:rFonts w:ascii="Arial" w:hAnsi="Arial" w:cs="Arial"/>
        </w:rPr>
        <w:t xml:space="preserve">s 76 and 79 of the </w:t>
      </w:r>
      <w:r w:rsidR="00E84062">
        <w:rPr>
          <w:rFonts w:ascii="Arial" w:hAnsi="Arial" w:cs="Arial"/>
        </w:rPr>
        <w:t>EECC</w:t>
      </w:r>
      <w:r w:rsidRPr="0016307C">
        <w:rPr>
          <w:rFonts w:ascii="Arial" w:hAnsi="Arial" w:cs="Arial"/>
        </w:rPr>
        <w:t xml:space="preserve">. The formal review </w:t>
      </w:r>
      <w:r w:rsidR="006B794E" w:rsidRPr="0016307C">
        <w:rPr>
          <w:rFonts w:ascii="Arial" w:hAnsi="Arial" w:cs="Arial"/>
        </w:rPr>
        <w:t xml:space="preserve">by the NRA </w:t>
      </w:r>
      <w:r w:rsidRPr="0016307C">
        <w:rPr>
          <w:rFonts w:ascii="Arial" w:hAnsi="Arial" w:cs="Arial"/>
        </w:rPr>
        <w:t xml:space="preserve">of the co-investment offer under the commitments procedure would in any event only be undertaken once the </w:t>
      </w:r>
      <w:r w:rsidR="00E84062">
        <w:rPr>
          <w:rFonts w:ascii="Arial" w:hAnsi="Arial" w:cs="Arial"/>
        </w:rPr>
        <w:t>EECC</w:t>
      </w:r>
      <w:r w:rsidRPr="0016307C">
        <w:rPr>
          <w:rFonts w:ascii="Arial" w:hAnsi="Arial" w:cs="Arial"/>
        </w:rPr>
        <w:t xml:space="preserve"> has been transposed into national law as of December 2020</w:t>
      </w:r>
      <w:r>
        <w:rPr>
          <w:rFonts w:ascii="Arial" w:hAnsi="Arial" w:cs="Arial"/>
        </w:rPr>
        <w:t>.</w:t>
      </w:r>
    </w:p>
    <w:p w14:paraId="3FE4D0A5" w14:textId="2BC79814" w:rsidR="00491011" w:rsidRPr="00442E74" w:rsidRDefault="00491011" w:rsidP="00B43874">
      <w:pPr>
        <w:pStyle w:val="ListParagraph"/>
        <w:numPr>
          <w:ilvl w:val="0"/>
          <w:numId w:val="47"/>
        </w:numPr>
        <w:rPr>
          <w:rFonts w:ascii="Arial" w:eastAsia="Arial" w:hAnsi="Arial" w:cs="Arial"/>
          <w:color w:val="211D1E"/>
          <w:lang w:val="en-GB"/>
        </w:rPr>
      </w:pPr>
      <w:bookmarkStart w:id="70" w:name="_Ref37402851"/>
      <w:r w:rsidRPr="0082710D">
        <w:rPr>
          <w:rFonts w:ascii="Arial" w:eastAsia="Arial" w:hAnsi="Arial" w:cs="Arial"/>
          <w:color w:val="211D1E"/>
          <w:lang w:val="en-GB"/>
        </w:rPr>
        <w:t>In</w:t>
      </w:r>
      <w:r w:rsidRPr="00442E74">
        <w:rPr>
          <w:rFonts w:ascii="Arial" w:eastAsia="Arial" w:hAnsi="Arial" w:cs="Arial"/>
          <w:color w:val="211D1E"/>
          <w:lang w:val="en-GB"/>
        </w:rPr>
        <w:t xml:space="preserve"> this regard, if the SMP operator decides to </w:t>
      </w:r>
      <w:r>
        <w:rPr>
          <w:rFonts w:ascii="Arial" w:eastAsia="Arial" w:hAnsi="Arial" w:cs="Arial"/>
          <w:color w:val="211D1E"/>
          <w:lang w:val="en-GB"/>
        </w:rPr>
        <w:t>publish</w:t>
      </w:r>
      <w:r w:rsidRPr="00442E74">
        <w:rPr>
          <w:rFonts w:ascii="Arial" w:eastAsia="Arial" w:hAnsi="Arial" w:cs="Arial"/>
          <w:color w:val="211D1E"/>
          <w:lang w:val="en-GB"/>
        </w:rPr>
        <w:t xml:space="preserve"> a co-investment offer in the period between December 2018 and December 2020, and is planning to subject the new VHCN open to co-investment to the procedure of </w:t>
      </w:r>
      <w:r w:rsidR="00FF487B">
        <w:rPr>
          <w:rFonts w:ascii="Arial" w:eastAsia="Arial" w:hAnsi="Arial" w:cs="Arial"/>
          <w:color w:val="211D1E"/>
          <w:lang w:val="en-GB"/>
        </w:rPr>
        <w:t>Article</w:t>
      </w:r>
      <w:r w:rsidRPr="00442E74">
        <w:rPr>
          <w:rFonts w:ascii="Arial" w:eastAsia="Arial" w:hAnsi="Arial" w:cs="Arial"/>
          <w:color w:val="211D1E"/>
          <w:lang w:val="en-GB"/>
        </w:rPr>
        <w:t xml:space="preserve"> 79, it will have to publicly provide a clear indication of its intention in the publication of the initial offer</w:t>
      </w:r>
      <w:r>
        <w:rPr>
          <w:rStyle w:val="FootnoteReference"/>
          <w:rFonts w:ascii="Arial" w:eastAsia="Arial" w:hAnsi="Arial" w:cs="Arial"/>
          <w:color w:val="211D1E"/>
          <w:lang w:val="en-GB"/>
        </w:rPr>
        <w:footnoteReference w:id="13"/>
      </w:r>
      <w:r w:rsidRPr="00442E74">
        <w:rPr>
          <w:rFonts w:ascii="Arial" w:eastAsia="Arial" w:hAnsi="Arial" w:cs="Arial"/>
          <w:color w:val="211D1E"/>
          <w:lang w:val="en-GB"/>
        </w:rPr>
        <w:t xml:space="preserve">. In order to prevent the asymmetry of information between the SMP operator and potential participants to the co-investment, any co-investment offer that has been made without an express indication of the SMP operator’s intention </w:t>
      </w:r>
      <w:r w:rsidR="006B794E">
        <w:rPr>
          <w:rFonts w:ascii="Arial" w:eastAsia="Arial" w:hAnsi="Arial" w:cs="Arial"/>
          <w:color w:val="211D1E"/>
          <w:lang w:val="en-GB"/>
        </w:rPr>
        <w:t xml:space="preserve">to submit it to </w:t>
      </w:r>
      <w:r w:rsidR="006B794E" w:rsidRPr="00442E74">
        <w:rPr>
          <w:rFonts w:ascii="Arial" w:eastAsia="Arial" w:hAnsi="Arial" w:cs="Arial"/>
          <w:color w:val="211D1E"/>
          <w:lang w:val="en-GB"/>
        </w:rPr>
        <w:t xml:space="preserve">the specific regulatory treatment of </w:t>
      </w:r>
      <w:r w:rsidR="006B794E">
        <w:rPr>
          <w:rFonts w:ascii="Arial" w:eastAsia="Arial" w:hAnsi="Arial" w:cs="Arial"/>
          <w:color w:val="211D1E"/>
          <w:lang w:val="en-GB"/>
        </w:rPr>
        <w:t>Article</w:t>
      </w:r>
      <w:r w:rsidR="006B794E" w:rsidRPr="00442E74">
        <w:rPr>
          <w:rFonts w:ascii="Arial" w:eastAsia="Arial" w:hAnsi="Arial" w:cs="Arial"/>
          <w:color w:val="211D1E"/>
          <w:lang w:val="en-GB"/>
        </w:rPr>
        <w:t xml:space="preserve"> </w:t>
      </w:r>
      <w:r w:rsidR="002510B0" w:rsidRPr="00442E74">
        <w:rPr>
          <w:rFonts w:ascii="Arial" w:eastAsia="Arial" w:hAnsi="Arial" w:cs="Arial"/>
          <w:color w:val="211D1E"/>
          <w:lang w:val="en-GB"/>
        </w:rPr>
        <w:t>76</w:t>
      </w:r>
      <w:r w:rsidR="002510B0">
        <w:rPr>
          <w:rFonts w:ascii="Arial" w:eastAsia="Arial" w:hAnsi="Arial" w:cs="Arial"/>
          <w:color w:val="211D1E"/>
          <w:lang w:val="en-GB"/>
        </w:rPr>
        <w:t xml:space="preserve"> </w:t>
      </w:r>
      <w:r w:rsidRPr="00442E74">
        <w:rPr>
          <w:rFonts w:ascii="Arial" w:eastAsia="Arial" w:hAnsi="Arial" w:cs="Arial"/>
          <w:color w:val="211D1E"/>
          <w:lang w:val="en-GB"/>
        </w:rPr>
        <w:t xml:space="preserve">will not qualify for the commitments procedure foreseen in the </w:t>
      </w:r>
      <w:r w:rsidR="00E84062">
        <w:rPr>
          <w:rFonts w:ascii="Arial" w:eastAsia="Arial" w:hAnsi="Arial" w:cs="Arial"/>
          <w:color w:val="211D1E"/>
          <w:lang w:val="en-GB"/>
        </w:rPr>
        <w:t>EECC</w:t>
      </w:r>
      <w:r w:rsidRPr="00442E74">
        <w:rPr>
          <w:rFonts w:ascii="Arial" w:eastAsia="Arial" w:hAnsi="Arial" w:cs="Arial"/>
          <w:color w:val="211D1E"/>
          <w:lang w:val="en-GB"/>
        </w:rPr>
        <w:t xml:space="preserve">. The same principles would apply </w:t>
      </w:r>
      <w:r w:rsidRPr="00442E74">
        <w:rPr>
          <w:rFonts w:ascii="Arial" w:eastAsia="Arial" w:hAnsi="Arial" w:cs="Arial"/>
          <w:i/>
          <w:color w:val="211D1E"/>
          <w:lang w:val="en-GB"/>
        </w:rPr>
        <w:t xml:space="preserve">mutatis mutandis </w:t>
      </w:r>
      <w:r w:rsidRPr="00442E74">
        <w:rPr>
          <w:rFonts w:ascii="Arial" w:eastAsia="Arial" w:hAnsi="Arial" w:cs="Arial"/>
          <w:color w:val="211D1E"/>
          <w:lang w:val="en-GB"/>
        </w:rPr>
        <w:t>to co-investment offers for the opening of a VHCN that are made after the 21</w:t>
      </w:r>
      <w:r w:rsidRPr="0016307C">
        <w:rPr>
          <w:rFonts w:ascii="Arial" w:eastAsia="Arial" w:hAnsi="Arial" w:cs="Arial"/>
          <w:color w:val="211D1E"/>
          <w:vertAlign w:val="superscript"/>
          <w:lang w:val="en-GB"/>
        </w:rPr>
        <w:t>st</w:t>
      </w:r>
      <w:r w:rsidRPr="00442E74">
        <w:rPr>
          <w:rFonts w:ascii="Arial" w:eastAsia="Arial" w:hAnsi="Arial" w:cs="Arial"/>
          <w:color w:val="211D1E"/>
          <w:lang w:val="en-GB"/>
        </w:rPr>
        <w:t xml:space="preserve"> December 2020, in Member States where by that date the </w:t>
      </w:r>
      <w:r w:rsidR="00E84062">
        <w:rPr>
          <w:rFonts w:ascii="Arial" w:eastAsia="Arial" w:hAnsi="Arial" w:cs="Arial"/>
          <w:color w:val="211D1E"/>
          <w:lang w:val="en-GB"/>
        </w:rPr>
        <w:t>EECC</w:t>
      </w:r>
      <w:r w:rsidRPr="00442E74">
        <w:rPr>
          <w:rFonts w:ascii="Arial" w:eastAsia="Arial" w:hAnsi="Arial" w:cs="Arial"/>
          <w:color w:val="211D1E"/>
          <w:lang w:val="en-GB"/>
        </w:rPr>
        <w:t xml:space="preserve"> has still not been effectively transposed into national legislation</w:t>
      </w:r>
      <w:r>
        <w:rPr>
          <w:rStyle w:val="FootnoteReference"/>
          <w:rFonts w:ascii="Arial" w:eastAsia="Arial" w:hAnsi="Arial" w:cs="Arial"/>
          <w:color w:val="211D1E"/>
          <w:lang w:val="en-GB"/>
        </w:rPr>
        <w:footnoteReference w:id="14"/>
      </w:r>
      <w:r w:rsidRPr="00442E74">
        <w:rPr>
          <w:rFonts w:ascii="Arial" w:eastAsia="Arial" w:hAnsi="Arial" w:cs="Arial"/>
          <w:color w:val="211D1E"/>
          <w:lang w:val="en-GB"/>
        </w:rPr>
        <w:t>.</w:t>
      </w:r>
      <w:bookmarkEnd w:id="70"/>
    </w:p>
    <w:p w14:paraId="48251039" w14:textId="77777777" w:rsidR="00491011" w:rsidRPr="00CD7C49" w:rsidRDefault="00491011" w:rsidP="002510B0">
      <w:pPr>
        <w:keepNext/>
        <w:keepLines/>
        <w:numPr>
          <w:ilvl w:val="2"/>
          <w:numId w:val="22"/>
        </w:numPr>
        <w:spacing w:before="40" w:after="120"/>
        <w:outlineLvl w:val="2"/>
        <w:rPr>
          <w:rFonts w:eastAsia="Arial"/>
        </w:rPr>
      </w:pPr>
      <w:bookmarkStart w:id="71" w:name="_Toc31190819"/>
      <w:bookmarkStart w:id="72" w:name="_Toc36030364"/>
      <w:bookmarkStart w:id="73" w:name="_Toc36816358"/>
      <w:bookmarkStart w:id="74" w:name="_Ref38367972"/>
      <w:bookmarkStart w:id="75" w:name="_Ref38453750"/>
      <w:bookmarkStart w:id="76" w:name="_Toc38464074"/>
      <w:r w:rsidRPr="00CD7C49">
        <w:rPr>
          <w:rFonts w:ascii="Arial" w:eastAsia="Arial" w:hAnsi="Arial" w:cs="Times New Roman"/>
          <w:b/>
          <w:bCs/>
          <w:color w:val="000000"/>
          <w:sz w:val="24"/>
          <w:lang w:val="en-GB"/>
        </w:rPr>
        <w:t xml:space="preserve">Type of Investments which may be covered by </w:t>
      </w:r>
      <w:r w:rsidR="00FF487B" w:rsidRPr="00CD7C49">
        <w:rPr>
          <w:rFonts w:ascii="Arial" w:eastAsia="Arial" w:hAnsi="Arial" w:cs="Times New Roman"/>
          <w:b/>
          <w:bCs/>
          <w:color w:val="000000"/>
          <w:sz w:val="24"/>
          <w:lang w:val="en-GB"/>
        </w:rPr>
        <w:t>Article</w:t>
      </w:r>
      <w:r w:rsidRPr="00CD7C49">
        <w:rPr>
          <w:rFonts w:ascii="Arial" w:eastAsia="Arial" w:hAnsi="Arial" w:cs="Times New Roman"/>
          <w:b/>
          <w:bCs/>
          <w:color w:val="000000"/>
          <w:sz w:val="24"/>
          <w:lang w:val="en-GB"/>
        </w:rPr>
        <w:t xml:space="preserve"> 76</w:t>
      </w:r>
      <w:bookmarkEnd w:id="71"/>
      <w:bookmarkEnd w:id="72"/>
      <w:bookmarkEnd w:id="73"/>
      <w:bookmarkEnd w:id="74"/>
      <w:bookmarkEnd w:id="75"/>
      <w:bookmarkEnd w:id="76"/>
    </w:p>
    <w:p w14:paraId="50EC4315" w14:textId="07E39F51" w:rsidR="00491011" w:rsidRPr="007618D4" w:rsidRDefault="00491011" w:rsidP="0027611B">
      <w:pPr>
        <w:pStyle w:val="ListParagraph"/>
        <w:numPr>
          <w:ilvl w:val="0"/>
          <w:numId w:val="47"/>
        </w:numPr>
        <w:spacing w:after="60"/>
        <w:contextualSpacing w:val="0"/>
        <w:rPr>
          <w:rFonts w:ascii="Arial" w:eastAsia="Arial" w:hAnsi="Arial" w:cs="Arial"/>
          <w:color w:val="211D1E"/>
          <w:lang w:val="en-GB"/>
        </w:rPr>
      </w:pPr>
      <w:r w:rsidRPr="0082710D">
        <w:rPr>
          <w:rFonts w:ascii="Arial" w:eastAsia="Arial" w:hAnsi="Arial" w:cs="Arial"/>
          <w:color w:val="211D1E"/>
          <w:lang w:val="en-GB"/>
        </w:rPr>
        <w:t xml:space="preserve">In BEREC’s view, </w:t>
      </w:r>
      <w:r w:rsidRPr="007D7FCC">
        <w:rPr>
          <w:rFonts w:ascii="Arial" w:eastAsia="Arial" w:hAnsi="Arial" w:cs="Arial"/>
          <w:color w:val="211D1E"/>
          <w:lang w:val="en-GB"/>
        </w:rPr>
        <w:t>investments in</w:t>
      </w:r>
      <w:r>
        <w:rPr>
          <w:rFonts w:ascii="Arial" w:eastAsia="Arial" w:hAnsi="Arial" w:cs="Arial"/>
          <w:color w:val="211D1E"/>
          <w:lang w:val="en-GB"/>
        </w:rPr>
        <w:t xml:space="preserve"> e</w:t>
      </w:r>
      <w:r w:rsidRPr="0082710D">
        <w:rPr>
          <w:rFonts w:ascii="Arial" w:eastAsia="Arial" w:hAnsi="Arial" w:cs="Arial"/>
          <w:color w:val="211D1E"/>
          <w:lang w:val="en-GB"/>
        </w:rPr>
        <w:t>xisting physical infrastructure</w:t>
      </w:r>
      <w:r>
        <w:rPr>
          <w:rStyle w:val="FootnoteReference"/>
          <w:rFonts w:ascii="Arial" w:eastAsia="Arial" w:hAnsi="Arial" w:cs="Arial"/>
          <w:color w:val="211D1E"/>
          <w:lang w:val="en-GB"/>
        </w:rPr>
        <w:footnoteReference w:id="15"/>
      </w:r>
      <w:r>
        <w:rPr>
          <w:rFonts w:ascii="Arial" w:eastAsia="Arial" w:hAnsi="Arial" w:cs="Arial"/>
          <w:color w:val="211D1E"/>
          <w:lang w:val="en-GB"/>
        </w:rPr>
        <w:t xml:space="preserve">, </w:t>
      </w:r>
      <w:r w:rsidRPr="00543664">
        <w:rPr>
          <w:rFonts w:ascii="Arial" w:eastAsia="Arial" w:hAnsi="Arial" w:cs="Arial"/>
          <w:color w:val="211D1E"/>
          <w:lang w:val="en-GB"/>
        </w:rPr>
        <w:t>as well as the mere construction of physical infrastructure on a stand-alone basis, should</w:t>
      </w:r>
      <w:r w:rsidRPr="0082710D">
        <w:rPr>
          <w:rFonts w:ascii="Arial" w:eastAsia="Arial" w:hAnsi="Arial" w:cs="Arial"/>
          <w:color w:val="211D1E"/>
          <w:lang w:val="en-GB"/>
        </w:rPr>
        <w:t xml:space="preserve"> not be covered by </w:t>
      </w:r>
      <w:r w:rsidR="00FF487B">
        <w:rPr>
          <w:rFonts w:ascii="Arial" w:eastAsia="Arial" w:hAnsi="Arial" w:cs="Arial"/>
          <w:color w:val="211D1E"/>
          <w:lang w:val="en-GB"/>
        </w:rPr>
        <w:t>Article</w:t>
      </w:r>
      <w:r w:rsidRPr="0082710D">
        <w:rPr>
          <w:rFonts w:ascii="Arial" w:eastAsia="Arial" w:hAnsi="Arial" w:cs="Arial"/>
          <w:color w:val="211D1E"/>
          <w:lang w:val="en-GB"/>
        </w:rPr>
        <w:t xml:space="preserve"> 76. This conclusion </w:t>
      </w:r>
      <w:r>
        <w:rPr>
          <w:rFonts w:ascii="Arial" w:eastAsia="Arial" w:hAnsi="Arial" w:cs="Arial"/>
          <w:color w:val="211D1E"/>
          <w:lang w:val="en-GB"/>
        </w:rPr>
        <w:t>applies in particular</w:t>
      </w:r>
      <w:r w:rsidRPr="002237C1">
        <w:rPr>
          <w:rFonts w:ascii="Arial" w:eastAsia="Arial" w:hAnsi="Arial" w:cs="Arial"/>
          <w:color w:val="211D1E"/>
          <w:lang w:val="en-GB"/>
        </w:rPr>
        <w:t xml:space="preserve"> to the upgrade </w:t>
      </w:r>
      <w:r w:rsidRPr="007618D4">
        <w:rPr>
          <w:rFonts w:ascii="Arial" w:eastAsia="Arial" w:hAnsi="Arial" w:cs="Arial"/>
          <w:color w:val="211D1E"/>
          <w:lang w:val="en-GB"/>
        </w:rPr>
        <w:t xml:space="preserve">or renovation of </w:t>
      </w:r>
      <w:r>
        <w:rPr>
          <w:rFonts w:ascii="Arial" w:eastAsia="Arial" w:hAnsi="Arial" w:cs="Arial"/>
          <w:color w:val="211D1E"/>
          <w:lang w:val="en-GB"/>
        </w:rPr>
        <w:t xml:space="preserve">existing </w:t>
      </w:r>
      <w:r w:rsidRPr="007618D4">
        <w:rPr>
          <w:rFonts w:ascii="Arial" w:eastAsia="Arial" w:hAnsi="Arial" w:cs="Arial"/>
          <w:color w:val="211D1E"/>
          <w:lang w:val="en-GB"/>
        </w:rPr>
        <w:t xml:space="preserve">physical infrastructure (even when such upgrade or renovation is undertaken for the </w:t>
      </w:r>
      <w:r>
        <w:rPr>
          <w:rFonts w:ascii="Arial" w:eastAsia="Arial" w:hAnsi="Arial" w:cs="Arial"/>
          <w:color w:val="211D1E"/>
          <w:lang w:val="en-GB"/>
        </w:rPr>
        <w:t xml:space="preserve">specific </w:t>
      </w:r>
      <w:r w:rsidRPr="007618D4">
        <w:rPr>
          <w:rFonts w:ascii="Arial" w:eastAsia="Arial" w:hAnsi="Arial" w:cs="Arial"/>
          <w:color w:val="211D1E"/>
          <w:lang w:val="en-GB"/>
        </w:rPr>
        <w:t xml:space="preserve">purposes of deploying a VHCN). This is because such upgrade or renovation would still pertain to infrastructure that already exists, and that was built before the </w:t>
      </w:r>
      <w:r w:rsidR="00F824DD">
        <w:rPr>
          <w:rFonts w:ascii="Arial" w:eastAsia="Arial" w:hAnsi="Arial" w:cs="Arial"/>
          <w:color w:val="211D1E"/>
          <w:lang w:val="en-GB"/>
        </w:rPr>
        <w:t xml:space="preserve">entry into force of the EECC </w:t>
      </w:r>
      <w:r w:rsidRPr="007618D4">
        <w:rPr>
          <w:rFonts w:ascii="Arial" w:eastAsia="Arial" w:hAnsi="Arial" w:cs="Arial"/>
          <w:color w:val="211D1E"/>
          <w:lang w:val="en-GB"/>
        </w:rPr>
        <w:t>provisions.</w:t>
      </w:r>
    </w:p>
    <w:p w14:paraId="12D65772" w14:textId="178ADB94" w:rsidR="00491011" w:rsidRPr="009E3C17" w:rsidRDefault="00491011" w:rsidP="0027611B">
      <w:pPr>
        <w:pStyle w:val="ListParagraph"/>
        <w:numPr>
          <w:ilvl w:val="0"/>
          <w:numId w:val="47"/>
        </w:numPr>
        <w:spacing w:after="60"/>
        <w:contextualSpacing w:val="0"/>
        <w:rPr>
          <w:rFonts w:ascii="Arial" w:eastAsia="Arial" w:hAnsi="Arial" w:cs="Arial"/>
          <w:color w:val="211D1E"/>
          <w:lang w:val="en-GB"/>
        </w:rPr>
      </w:pPr>
      <w:r w:rsidRPr="009E3C17">
        <w:rPr>
          <w:rFonts w:ascii="Arial" w:eastAsia="Arial" w:hAnsi="Arial" w:cs="Arial"/>
          <w:color w:val="211D1E"/>
          <w:lang w:val="en-GB"/>
        </w:rPr>
        <w:t xml:space="preserve">The conclusion </w:t>
      </w:r>
      <w:r>
        <w:rPr>
          <w:rFonts w:ascii="Arial" w:eastAsia="Arial" w:hAnsi="Arial" w:cs="Arial"/>
          <w:color w:val="211D1E"/>
          <w:lang w:val="en-GB"/>
        </w:rPr>
        <w:t>is</w:t>
      </w:r>
      <w:r w:rsidRPr="009E3C17">
        <w:rPr>
          <w:rFonts w:ascii="Arial" w:eastAsia="Arial" w:hAnsi="Arial" w:cs="Arial"/>
          <w:color w:val="211D1E"/>
          <w:lang w:val="en-GB"/>
        </w:rPr>
        <w:t xml:space="preserve"> however </w:t>
      </w:r>
      <w:r>
        <w:rPr>
          <w:rFonts w:ascii="Arial" w:eastAsia="Arial" w:hAnsi="Arial" w:cs="Arial"/>
          <w:color w:val="211D1E"/>
          <w:lang w:val="en-GB"/>
        </w:rPr>
        <w:t xml:space="preserve">likely to </w:t>
      </w:r>
      <w:r w:rsidRPr="009E3C17">
        <w:rPr>
          <w:rFonts w:ascii="Arial" w:eastAsia="Arial" w:hAnsi="Arial" w:cs="Arial"/>
          <w:color w:val="211D1E"/>
          <w:lang w:val="en-GB"/>
        </w:rPr>
        <w:t>be different in the case of complet</w:t>
      </w:r>
      <w:r>
        <w:rPr>
          <w:rFonts w:ascii="Arial" w:eastAsia="Arial" w:hAnsi="Arial" w:cs="Arial"/>
          <w:color w:val="211D1E"/>
          <w:lang w:val="en-GB"/>
        </w:rPr>
        <w:t>ely new physical infrastructure</w:t>
      </w:r>
      <w:r w:rsidRPr="009E3C17">
        <w:rPr>
          <w:rFonts w:ascii="Arial" w:eastAsia="Arial" w:hAnsi="Arial" w:cs="Arial"/>
          <w:color w:val="211D1E"/>
          <w:lang w:val="en-GB"/>
        </w:rPr>
        <w:t xml:space="preserve"> that is built for the </w:t>
      </w:r>
      <w:r>
        <w:rPr>
          <w:rFonts w:ascii="Arial" w:eastAsia="Arial" w:hAnsi="Arial" w:cs="Arial"/>
          <w:color w:val="211D1E"/>
          <w:lang w:val="en-GB"/>
        </w:rPr>
        <w:t xml:space="preserve">specific </w:t>
      </w:r>
      <w:r w:rsidRPr="009E3C17">
        <w:rPr>
          <w:rFonts w:ascii="Arial" w:eastAsia="Arial" w:hAnsi="Arial" w:cs="Arial"/>
          <w:color w:val="211D1E"/>
          <w:lang w:val="en-GB"/>
        </w:rPr>
        <w:t xml:space="preserve">purposes of deploying a </w:t>
      </w:r>
      <w:r>
        <w:rPr>
          <w:rFonts w:ascii="Arial" w:eastAsia="Arial" w:hAnsi="Arial" w:cs="Arial"/>
          <w:color w:val="211D1E"/>
          <w:lang w:val="en-GB"/>
        </w:rPr>
        <w:t xml:space="preserve">new </w:t>
      </w:r>
      <w:r w:rsidRPr="009E3C17">
        <w:rPr>
          <w:rFonts w:ascii="Arial" w:eastAsia="Arial" w:hAnsi="Arial" w:cs="Arial"/>
          <w:color w:val="211D1E"/>
          <w:lang w:val="en-GB"/>
        </w:rPr>
        <w:t xml:space="preserve">VHCN. </w:t>
      </w:r>
      <w:r>
        <w:rPr>
          <w:rFonts w:ascii="Arial" w:eastAsia="Arial" w:hAnsi="Arial" w:cs="Arial"/>
          <w:color w:val="211D1E"/>
          <w:lang w:val="en-GB"/>
        </w:rPr>
        <w:t>In those instances, t</w:t>
      </w:r>
      <w:r w:rsidRPr="009E3C17">
        <w:rPr>
          <w:rFonts w:ascii="Arial" w:eastAsia="Arial" w:hAnsi="Arial" w:cs="Arial"/>
          <w:color w:val="211D1E"/>
          <w:lang w:val="en-GB"/>
        </w:rPr>
        <w:t>he building of the infrastructure for the purpose</w:t>
      </w:r>
      <w:r>
        <w:rPr>
          <w:rFonts w:ascii="Arial" w:eastAsia="Arial" w:hAnsi="Arial" w:cs="Arial"/>
          <w:color w:val="211D1E"/>
          <w:lang w:val="en-GB"/>
        </w:rPr>
        <w:t>s</w:t>
      </w:r>
      <w:r w:rsidRPr="009E3C17">
        <w:rPr>
          <w:rFonts w:ascii="Arial" w:eastAsia="Arial" w:hAnsi="Arial" w:cs="Arial"/>
          <w:color w:val="211D1E"/>
          <w:lang w:val="en-GB"/>
        </w:rPr>
        <w:t xml:space="preserve"> of hosting VHCN elements </w:t>
      </w:r>
      <w:r>
        <w:rPr>
          <w:rFonts w:ascii="Arial" w:eastAsia="Arial" w:hAnsi="Arial" w:cs="Arial"/>
          <w:color w:val="211D1E"/>
          <w:lang w:val="en-GB"/>
        </w:rPr>
        <w:t>will</w:t>
      </w:r>
      <w:r w:rsidRPr="009E3C17">
        <w:rPr>
          <w:rFonts w:ascii="Arial" w:eastAsia="Arial" w:hAnsi="Arial" w:cs="Arial"/>
          <w:color w:val="211D1E"/>
          <w:lang w:val="en-GB"/>
        </w:rPr>
        <w:t xml:space="preserve"> </w:t>
      </w:r>
      <w:r>
        <w:rPr>
          <w:rFonts w:ascii="Arial" w:eastAsia="Arial" w:hAnsi="Arial" w:cs="Arial"/>
          <w:color w:val="211D1E"/>
          <w:lang w:val="en-GB"/>
        </w:rPr>
        <w:t xml:space="preserve">normally be </w:t>
      </w:r>
      <w:r w:rsidRPr="009E3C17">
        <w:rPr>
          <w:rFonts w:ascii="Arial" w:eastAsia="Arial" w:hAnsi="Arial" w:cs="Arial"/>
          <w:color w:val="211D1E"/>
          <w:lang w:val="en-GB"/>
        </w:rPr>
        <w:t xml:space="preserve">a critical component of the co-investment scheme designed by the SMP operator. </w:t>
      </w:r>
      <w:r w:rsidRPr="009E3C17">
        <w:rPr>
          <w:rFonts w:ascii="Arial" w:eastAsia="Arial" w:hAnsi="Arial" w:cs="Arial"/>
          <w:color w:val="211D1E"/>
          <w:lang w:val="en-GB"/>
        </w:rPr>
        <w:lastRenderedPageBreak/>
        <w:t>NRA</w:t>
      </w:r>
      <w:r>
        <w:rPr>
          <w:rFonts w:ascii="Arial" w:eastAsia="Arial" w:hAnsi="Arial" w:cs="Arial"/>
          <w:color w:val="211D1E"/>
          <w:lang w:val="en-GB"/>
        </w:rPr>
        <w:t>s</w:t>
      </w:r>
      <w:r w:rsidRPr="009E3C17">
        <w:rPr>
          <w:rFonts w:ascii="Arial" w:eastAsia="Arial" w:hAnsi="Arial" w:cs="Arial"/>
          <w:color w:val="211D1E"/>
          <w:lang w:val="en-GB"/>
        </w:rPr>
        <w:t xml:space="preserve"> </w:t>
      </w:r>
      <w:r>
        <w:rPr>
          <w:rFonts w:ascii="Arial" w:eastAsia="Arial" w:hAnsi="Arial" w:cs="Arial"/>
          <w:color w:val="211D1E"/>
          <w:lang w:val="en-GB"/>
        </w:rPr>
        <w:t xml:space="preserve">should thus </w:t>
      </w:r>
      <w:r w:rsidR="00AD75F4">
        <w:rPr>
          <w:rFonts w:ascii="Arial" w:eastAsia="Arial" w:hAnsi="Arial" w:cs="Arial"/>
          <w:color w:val="211D1E"/>
          <w:lang w:val="en-GB"/>
        </w:rPr>
        <w:t xml:space="preserve">be able to </w:t>
      </w:r>
      <w:r>
        <w:rPr>
          <w:rFonts w:ascii="Arial" w:eastAsia="Arial" w:hAnsi="Arial" w:cs="Arial"/>
          <w:color w:val="211D1E"/>
          <w:lang w:val="en-GB"/>
        </w:rPr>
        <w:t>assess</w:t>
      </w:r>
      <w:r w:rsidRPr="009E3C17">
        <w:rPr>
          <w:rFonts w:ascii="Arial" w:eastAsia="Arial" w:hAnsi="Arial" w:cs="Arial"/>
          <w:color w:val="211D1E"/>
          <w:lang w:val="en-GB"/>
        </w:rPr>
        <w:t xml:space="preserve"> </w:t>
      </w:r>
      <w:r>
        <w:rPr>
          <w:rFonts w:ascii="Arial" w:eastAsia="Arial" w:hAnsi="Arial" w:cs="Arial"/>
          <w:color w:val="211D1E"/>
          <w:lang w:val="en-GB"/>
        </w:rPr>
        <w:t>whether</w:t>
      </w:r>
      <w:r w:rsidRPr="009E3C17">
        <w:rPr>
          <w:rFonts w:ascii="Arial" w:eastAsia="Arial" w:hAnsi="Arial" w:cs="Arial"/>
          <w:color w:val="211D1E"/>
          <w:lang w:val="en-GB"/>
        </w:rPr>
        <w:t xml:space="preserve"> the </w:t>
      </w:r>
      <w:r w:rsidR="00F824DD" w:rsidRPr="009E3C17">
        <w:rPr>
          <w:rFonts w:ascii="Arial" w:eastAsia="Arial" w:hAnsi="Arial" w:cs="Arial"/>
          <w:color w:val="211D1E"/>
          <w:lang w:val="en-GB"/>
        </w:rPr>
        <w:t>newly</w:t>
      </w:r>
      <w:r w:rsidR="00F824DD">
        <w:rPr>
          <w:rFonts w:ascii="Arial" w:eastAsia="Arial" w:hAnsi="Arial" w:cs="Arial"/>
          <w:color w:val="211D1E"/>
          <w:lang w:val="en-GB"/>
        </w:rPr>
        <w:t>-</w:t>
      </w:r>
      <w:r w:rsidRPr="009E3C17">
        <w:rPr>
          <w:rFonts w:ascii="Arial" w:eastAsia="Arial" w:hAnsi="Arial" w:cs="Arial"/>
          <w:color w:val="211D1E"/>
          <w:lang w:val="en-GB"/>
        </w:rPr>
        <w:t xml:space="preserve">built physical infrastructure is an </w:t>
      </w:r>
      <w:r>
        <w:rPr>
          <w:rFonts w:ascii="Arial" w:eastAsia="Arial" w:hAnsi="Arial" w:cs="Arial"/>
          <w:color w:val="211D1E"/>
          <w:lang w:val="en-GB"/>
        </w:rPr>
        <w:t xml:space="preserve">integral </w:t>
      </w:r>
      <w:r w:rsidRPr="009E3C17">
        <w:rPr>
          <w:rFonts w:ascii="Arial" w:eastAsia="Arial" w:hAnsi="Arial" w:cs="Arial"/>
          <w:color w:val="211D1E"/>
          <w:lang w:val="en-GB"/>
        </w:rPr>
        <w:t xml:space="preserve">part of the </w:t>
      </w:r>
      <w:r>
        <w:rPr>
          <w:rFonts w:ascii="Arial" w:eastAsia="Arial" w:hAnsi="Arial" w:cs="Arial"/>
          <w:color w:val="211D1E"/>
          <w:lang w:val="en-GB"/>
        </w:rPr>
        <w:t>co-investment scheme</w:t>
      </w:r>
      <w:r w:rsidRPr="009E3C17">
        <w:rPr>
          <w:rFonts w:ascii="Arial" w:eastAsia="Arial" w:hAnsi="Arial" w:cs="Arial"/>
          <w:color w:val="211D1E"/>
          <w:lang w:val="en-GB"/>
        </w:rPr>
        <w:t xml:space="preserve">, </w:t>
      </w:r>
      <w:r>
        <w:rPr>
          <w:rFonts w:ascii="Arial" w:eastAsia="Arial" w:hAnsi="Arial" w:cs="Arial"/>
          <w:color w:val="211D1E"/>
          <w:lang w:val="en-GB"/>
        </w:rPr>
        <w:t xml:space="preserve">and therefore falls under the remit of </w:t>
      </w:r>
      <w:r w:rsidR="00FF487B">
        <w:rPr>
          <w:rFonts w:ascii="Arial" w:eastAsia="Arial" w:hAnsi="Arial" w:cs="Arial"/>
          <w:color w:val="211D1E"/>
          <w:lang w:val="en-GB"/>
        </w:rPr>
        <w:t>Article</w:t>
      </w:r>
      <w:r>
        <w:rPr>
          <w:rFonts w:ascii="Arial" w:eastAsia="Arial" w:hAnsi="Arial" w:cs="Arial"/>
          <w:color w:val="211D1E"/>
          <w:lang w:val="en-GB"/>
        </w:rPr>
        <w:t xml:space="preserve"> 76</w:t>
      </w:r>
      <w:r w:rsidRPr="009E3C17">
        <w:rPr>
          <w:rFonts w:ascii="Arial" w:eastAsia="Arial" w:hAnsi="Arial" w:cs="Arial"/>
          <w:color w:val="211D1E"/>
          <w:lang w:val="en-GB"/>
        </w:rPr>
        <w:t xml:space="preserve">. </w:t>
      </w:r>
    </w:p>
    <w:p w14:paraId="43E56996" w14:textId="36BF56E2" w:rsidR="00491011" w:rsidRDefault="00491011" w:rsidP="0027611B">
      <w:pPr>
        <w:pStyle w:val="ListParagraph"/>
        <w:numPr>
          <w:ilvl w:val="0"/>
          <w:numId w:val="47"/>
        </w:numPr>
        <w:spacing w:after="60"/>
        <w:contextualSpacing w:val="0"/>
        <w:rPr>
          <w:rFonts w:ascii="Arial" w:eastAsia="Arial" w:hAnsi="Arial" w:cs="Arial"/>
          <w:color w:val="211D1E"/>
          <w:lang w:val="en-GB"/>
        </w:rPr>
      </w:pPr>
      <w:r w:rsidRPr="009E3C17">
        <w:rPr>
          <w:rFonts w:ascii="Arial" w:eastAsia="Arial" w:hAnsi="Arial" w:cs="Arial"/>
          <w:color w:val="211D1E"/>
          <w:lang w:val="en-GB"/>
        </w:rPr>
        <w:t xml:space="preserve">Regarding the </w:t>
      </w:r>
      <w:r>
        <w:rPr>
          <w:rFonts w:ascii="Arial" w:eastAsia="Arial" w:hAnsi="Arial" w:cs="Arial"/>
          <w:color w:val="211D1E"/>
          <w:lang w:val="en-GB"/>
        </w:rPr>
        <w:t xml:space="preserve">optical fibre </w:t>
      </w:r>
      <w:r w:rsidRPr="009E3C17">
        <w:rPr>
          <w:rFonts w:ascii="Arial" w:eastAsia="Arial" w:hAnsi="Arial" w:cs="Arial"/>
          <w:color w:val="211D1E"/>
          <w:lang w:val="en-GB"/>
        </w:rPr>
        <w:t xml:space="preserve">elements, the question arises as to the level of investment at which this condition should be assessed. In this regard, an investment consisting of the deployment of an optical fibre from the ODF to the end-user premises </w:t>
      </w:r>
      <w:r>
        <w:rPr>
          <w:rFonts w:ascii="Arial" w:eastAsia="Arial" w:hAnsi="Arial" w:cs="Arial"/>
          <w:color w:val="211D1E"/>
          <w:lang w:val="en-GB"/>
        </w:rPr>
        <w:t xml:space="preserve">(that is, an FTTH or FTTB deployment) </w:t>
      </w:r>
      <w:r w:rsidRPr="009E3C17">
        <w:rPr>
          <w:rFonts w:ascii="Arial" w:eastAsia="Arial" w:hAnsi="Arial" w:cs="Arial"/>
          <w:color w:val="211D1E"/>
          <w:lang w:val="en-GB"/>
        </w:rPr>
        <w:t xml:space="preserve">is clearly an investment in “the deployment </w:t>
      </w:r>
      <w:r>
        <w:rPr>
          <w:rFonts w:ascii="Arial" w:eastAsia="Arial" w:hAnsi="Arial" w:cs="Arial"/>
          <w:color w:val="211D1E"/>
          <w:lang w:val="en-GB"/>
        </w:rPr>
        <w:t>of</w:t>
      </w:r>
      <w:r w:rsidRPr="009E3C17">
        <w:rPr>
          <w:rFonts w:ascii="Arial" w:eastAsia="Arial" w:hAnsi="Arial" w:cs="Arial"/>
          <w:color w:val="211D1E"/>
          <w:lang w:val="en-GB"/>
        </w:rPr>
        <w:t xml:space="preserve"> a new very high capacity network” for the purposes of </w:t>
      </w:r>
      <w:r w:rsidR="00FF487B">
        <w:rPr>
          <w:rFonts w:ascii="Arial" w:eastAsia="Arial" w:hAnsi="Arial" w:cs="Arial"/>
          <w:color w:val="211D1E"/>
          <w:lang w:val="en-GB"/>
        </w:rPr>
        <w:t>Article</w:t>
      </w:r>
      <w:r w:rsidRPr="009E3C17">
        <w:rPr>
          <w:rFonts w:ascii="Arial" w:eastAsia="Arial" w:hAnsi="Arial" w:cs="Arial"/>
          <w:color w:val="211D1E"/>
          <w:lang w:val="en-GB"/>
        </w:rPr>
        <w:t xml:space="preserve"> 76. </w:t>
      </w:r>
    </w:p>
    <w:p w14:paraId="531069AC" w14:textId="40F83855" w:rsidR="00491011" w:rsidRDefault="00491011" w:rsidP="0027611B">
      <w:pPr>
        <w:pStyle w:val="ListParagraph"/>
        <w:numPr>
          <w:ilvl w:val="0"/>
          <w:numId w:val="47"/>
        </w:numPr>
        <w:spacing w:after="60"/>
        <w:contextualSpacing w:val="0"/>
        <w:rPr>
          <w:rFonts w:ascii="Arial" w:eastAsia="Arial" w:hAnsi="Arial" w:cs="Arial"/>
          <w:color w:val="211D1E"/>
          <w:lang w:val="en-GB"/>
        </w:rPr>
      </w:pPr>
      <w:r w:rsidRPr="00AB0F8B">
        <w:rPr>
          <w:rFonts w:ascii="Arial" w:eastAsia="Arial" w:hAnsi="Arial" w:cs="Arial"/>
          <w:color w:val="211D1E"/>
          <w:lang w:val="en-GB"/>
        </w:rPr>
        <w:t>By the same token, an investment pertaining exclusively to the terminating segment or the sub-loop of the network (in order to turn an existing network into an optical fibre-only network up to the end-user premises or the home</w:t>
      </w:r>
      <w:r w:rsidRPr="002D7AC9">
        <w:rPr>
          <w:rFonts w:ascii="Arial" w:eastAsia="Arial" w:hAnsi="Arial" w:cs="Arial"/>
          <w:color w:val="211D1E"/>
          <w:lang w:val="en-GB"/>
        </w:rPr>
        <w:t xml:space="preserve">) </w:t>
      </w:r>
      <w:r w:rsidRPr="0016307C">
        <w:rPr>
          <w:rFonts w:ascii="Arial" w:eastAsia="Arial" w:hAnsi="Arial" w:cs="Arial"/>
          <w:color w:val="211D1E"/>
          <w:lang w:val="en-GB"/>
        </w:rPr>
        <w:t>is</w:t>
      </w:r>
      <w:r w:rsidRPr="002D7AC9">
        <w:rPr>
          <w:rFonts w:ascii="Arial" w:eastAsia="Arial" w:hAnsi="Arial" w:cs="Arial"/>
          <w:color w:val="211D1E"/>
          <w:lang w:val="en-GB"/>
        </w:rPr>
        <w:t xml:space="preserve"> also </w:t>
      </w:r>
      <w:r w:rsidRPr="0016307C">
        <w:rPr>
          <w:rFonts w:ascii="Arial" w:eastAsia="Arial" w:hAnsi="Arial" w:cs="Arial"/>
          <w:color w:val="211D1E"/>
          <w:lang w:val="en-GB"/>
        </w:rPr>
        <w:t xml:space="preserve">likely to </w:t>
      </w:r>
      <w:r w:rsidRPr="002D7AC9">
        <w:rPr>
          <w:rFonts w:ascii="Arial" w:eastAsia="Arial" w:hAnsi="Arial" w:cs="Arial"/>
          <w:color w:val="211D1E"/>
          <w:lang w:val="en-GB"/>
        </w:rPr>
        <w:t xml:space="preserve">qualify </w:t>
      </w:r>
      <w:r w:rsidRPr="00AB0F8B">
        <w:rPr>
          <w:rFonts w:ascii="Arial" w:eastAsia="Arial" w:hAnsi="Arial" w:cs="Arial"/>
          <w:color w:val="211D1E"/>
          <w:lang w:val="en-GB"/>
        </w:rPr>
        <w:t xml:space="preserve">under </w:t>
      </w:r>
      <w:r w:rsidR="00FF487B">
        <w:rPr>
          <w:rFonts w:ascii="Arial" w:eastAsia="Arial" w:hAnsi="Arial" w:cs="Arial"/>
          <w:color w:val="211D1E"/>
          <w:lang w:val="en-GB"/>
        </w:rPr>
        <w:t>Article</w:t>
      </w:r>
      <w:r w:rsidRPr="00AB0F8B">
        <w:rPr>
          <w:rFonts w:ascii="Arial" w:eastAsia="Arial" w:hAnsi="Arial" w:cs="Arial"/>
          <w:color w:val="211D1E"/>
          <w:lang w:val="en-GB"/>
        </w:rPr>
        <w:t xml:space="preserve"> 76 of the </w:t>
      </w:r>
      <w:r w:rsidR="00E84062">
        <w:rPr>
          <w:rFonts w:ascii="Arial" w:eastAsia="Arial" w:hAnsi="Arial" w:cs="Arial"/>
          <w:color w:val="211D1E"/>
          <w:lang w:val="en-GB"/>
        </w:rPr>
        <w:t>EECC</w:t>
      </w:r>
      <w:r w:rsidRPr="00AB0F8B">
        <w:rPr>
          <w:rFonts w:ascii="Arial" w:eastAsia="Arial" w:hAnsi="Arial" w:cs="Arial"/>
          <w:color w:val="211D1E"/>
          <w:lang w:val="en-GB"/>
        </w:rPr>
        <w:t xml:space="preserve">, as it </w:t>
      </w:r>
      <w:r>
        <w:rPr>
          <w:rFonts w:ascii="Arial" w:eastAsia="Arial" w:hAnsi="Arial" w:cs="Arial"/>
          <w:color w:val="211D1E"/>
          <w:lang w:val="en-GB"/>
        </w:rPr>
        <w:t>w</w:t>
      </w:r>
      <w:r w:rsidRPr="00AB0F8B">
        <w:rPr>
          <w:rFonts w:ascii="Arial" w:eastAsia="Arial" w:hAnsi="Arial" w:cs="Arial"/>
          <w:color w:val="211D1E"/>
          <w:lang w:val="en-GB"/>
        </w:rPr>
        <w:t>ould be deemed</w:t>
      </w:r>
      <w:r w:rsidR="00F824DD">
        <w:rPr>
          <w:rFonts w:ascii="Arial" w:eastAsia="Arial" w:hAnsi="Arial" w:cs="Arial"/>
          <w:color w:val="211D1E"/>
          <w:lang w:val="en-GB"/>
        </w:rPr>
        <w:t xml:space="preserve"> as</w:t>
      </w:r>
      <w:r w:rsidRPr="00AB0F8B">
        <w:rPr>
          <w:rFonts w:ascii="Arial" w:eastAsia="Arial" w:hAnsi="Arial" w:cs="Arial"/>
          <w:color w:val="211D1E"/>
          <w:lang w:val="en-GB"/>
        </w:rPr>
        <w:t xml:space="preserve"> a deployment that contributes to the transition towards a VHCN.</w:t>
      </w:r>
      <w:r>
        <w:rPr>
          <w:rFonts w:ascii="Arial" w:eastAsia="Arial" w:hAnsi="Arial" w:cs="Arial"/>
          <w:color w:val="211D1E"/>
          <w:lang w:val="en-GB"/>
        </w:rPr>
        <w:t xml:space="preserve"> </w:t>
      </w:r>
    </w:p>
    <w:p w14:paraId="37B2BE95" w14:textId="7780BA03" w:rsidR="00491011" w:rsidRPr="00762682" w:rsidRDefault="00491011" w:rsidP="00491011">
      <w:pPr>
        <w:pStyle w:val="ListParagraph"/>
        <w:numPr>
          <w:ilvl w:val="0"/>
          <w:numId w:val="47"/>
        </w:numPr>
        <w:rPr>
          <w:rFonts w:ascii="Arial" w:eastAsia="Arial" w:hAnsi="Arial" w:cs="Arial"/>
          <w:color w:val="211D1E"/>
          <w:lang w:val="en-GB"/>
        </w:rPr>
      </w:pPr>
      <w:r w:rsidRPr="003B7481">
        <w:rPr>
          <w:rFonts w:ascii="Arial" w:eastAsia="Arial" w:hAnsi="Arial" w:cs="Arial"/>
          <w:color w:val="211D1E"/>
          <w:lang w:val="en-GB"/>
        </w:rPr>
        <w:t xml:space="preserve">When applying the provision of </w:t>
      </w:r>
      <w:r w:rsidR="00FF487B">
        <w:rPr>
          <w:rFonts w:ascii="Arial" w:eastAsia="Arial" w:hAnsi="Arial" w:cs="Arial"/>
          <w:color w:val="211D1E"/>
          <w:lang w:val="en-GB"/>
        </w:rPr>
        <w:t>Article</w:t>
      </w:r>
      <w:r w:rsidRPr="003B7481">
        <w:rPr>
          <w:rFonts w:ascii="Arial" w:eastAsia="Arial" w:hAnsi="Arial" w:cs="Arial"/>
          <w:color w:val="211D1E"/>
          <w:lang w:val="en-GB"/>
        </w:rPr>
        <w:t xml:space="preserve"> 76, NRAs ha</w:t>
      </w:r>
      <w:r>
        <w:rPr>
          <w:rFonts w:ascii="Arial" w:eastAsia="Arial" w:hAnsi="Arial" w:cs="Arial"/>
          <w:color w:val="211D1E"/>
          <w:lang w:val="en-GB"/>
        </w:rPr>
        <w:t>ve</w:t>
      </w:r>
      <w:r w:rsidRPr="003B7481">
        <w:rPr>
          <w:rFonts w:ascii="Arial" w:eastAsia="Arial" w:hAnsi="Arial" w:cs="Arial"/>
          <w:color w:val="211D1E"/>
          <w:lang w:val="en-GB"/>
        </w:rPr>
        <w:t xml:space="preserve"> to take account </w:t>
      </w:r>
      <w:r>
        <w:rPr>
          <w:rFonts w:ascii="Arial" w:eastAsia="Arial" w:hAnsi="Arial" w:cs="Arial"/>
          <w:color w:val="211D1E"/>
          <w:lang w:val="en-GB"/>
        </w:rPr>
        <w:t xml:space="preserve">of </w:t>
      </w:r>
      <w:r w:rsidRPr="003B7481">
        <w:rPr>
          <w:rFonts w:ascii="Arial" w:eastAsia="Arial" w:hAnsi="Arial" w:cs="Arial"/>
          <w:color w:val="211D1E"/>
          <w:lang w:val="en-GB"/>
        </w:rPr>
        <w:t xml:space="preserve">the scope of the project to avoid regulatory complexity. </w:t>
      </w:r>
      <w:r>
        <w:rPr>
          <w:rFonts w:ascii="Arial" w:eastAsia="Arial" w:hAnsi="Arial" w:cs="Arial"/>
          <w:color w:val="211D1E"/>
          <w:lang w:val="en-GB"/>
        </w:rPr>
        <w:t>For instance,</w:t>
      </w:r>
      <w:r w:rsidRPr="003B7481">
        <w:rPr>
          <w:rFonts w:ascii="Arial" w:eastAsia="Arial" w:hAnsi="Arial" w:cs="Arial"/>
          <w:color w:val="211D1E"/>
          <w:lang w:val="en-GB"/>
        </w:rPr>
        <w:t xml:space="preserve"> if the network is deployed from the ODF, all the downstream lines </w:t>
      </w:r>
      <w:r>
        <w:rPr>
          <w:rFonts w:ascii="Arial" w:eastAsia="Arial" w:hAnsi="Arial" w:cs="Arial"/>
          <w:color w:val="211D1E"/>
          <w:lang w:val="en-GB"/>
        </w:rPr>
        <w:t>may have to</w:t>
      </w:r>
      <w:r w:rsidRPr="003B7481">
        <w:rPr>
          <w:rFonts w:ascii="Arial" w:eastAsia="Arial" w:hAnsi="Arial" w:cs="Arial"/>
          <w:color w:val="211D1E"/>
          <w:lang w:val="en-GB"/>
        </w:rPr>
        <w:t xml:space="preserve"> be submitted to the same regulatory regime</w:t>
      </w:r>
      <w:r>
        <w:rPr>
          <w:rFonts w:ascii="Arial" w:eastAsia="Arial" w:hAnsi="Arial" w:cs="Arial"/>
          <w:color w:val="211D1E"/>
          <w:lang w:val="en-GB"/>
        </w:rPr>
        <w:t xml:space="preserve">. </w:t>
      </w:r>
    </w:p>
    <w:p w14:paraId="5F461E76" w14:textId="77777777" w:rsidR="00491011" w:rsidRPr="00CD7C49" w:rsidRDefault="00491011" w:rsidP="002510B0">
      <w:pPr>
        <w:keepNext/>
        <w:keepLines/>
        <w:numPr>
          <w:ilvl w:val="2"/>
          <w:numId w:val="22"/>
        </w:numPr>
        <w:spacing w:before="40" w:after="120"/>
        <w:outlineLvl w:val="2"/>
        <w:rPr>
          <w:rFonts w:eastAsia="Arial"/>
        </w:rPr>
      </w:pPr>
      <w:bookmarkStart w:id="77" w:name="_Toc31190820"/>
      <w:bookmarkStart w:id="78" w:name="_Toc36816359"/>
      <w:bookmarkStart w:id="79" w:name="_Toc36030365"/>
      <w:bookmarkStart w:id="80" w:name="_Ref38453330"/>
      <w:bookmarkStart w:id="81" w:name="_Toc38464075"/>
      <w:r w:rsidRPr="00CD7C49">
        <w:rPr>
          <w:rFonts w:ascii="Arial" w:eastAsia="Arial" w:hAnsi="Arial" w:cs="Times New Roman"/>
          <w:b/>
          <w:bCs/>
          <w:color w:val="000000"/>
          <w:sz w:val="24"/>
          <w:lang w:val="en-GB"/>
        </w:rPr>
        <w:t xml:space="preserve">Co-investment models which may be covered by </w:t>
      </w:r>
      <w:r w:rsidR="00FF487B" w:rsidRPr="00CD7C49">
        <w:rPr>
          <w:rFonts w:ascii="Arial" w:eastAsia="Arial" w:hAnsi="Arial" w:cs="Times New Roman"/>
          <w:b/>
          <w:bCs/>
          <w:color w:val="000000"/>
          <w:sz w:val="24"/>
          <w:lang w:val="en-GB"/>
        </w:rPr>
        <w:t>Article</w:t>
      </w:r>
      <w:r w:rsidRPr="00CD7C49">
        <w:rPr>
          <w:rFonts w:ascii="Arial" w:eastAsia="Arial" w:hAnsi="Arial" w:cs="Times New Roman"/>
          <w:b/>
          <w:bCs/>
          <w:color w:val="000000"/>
          <w:sz w:val="24"/>
          <w:lang w:val="en-GB"/>
        </w:rPr>
        <w:t xml:space="preserve"> 76</w:t>
      </w:r>
      <w:bookmarkEnd w:id="77"/>
      <w:bookmarkEnd w:id="78"/>
      <w:bookmarkEnd w:id="79"/>
      <w:bookmarkEnd w:id="80"/>
      <w:bookmarkEnd w:id="81"/>
    </w:p>
    <w:p w14:paraId="200B87E2" w14:textId="0CB953B7" w:rsidR="00491011" w:rsidRPr="00AC39BD" w:rsidRDefault="00491011" w:rsidP="0027611B">
      <w:pPr>
        <w:pStyle w:val="ListParagraph"/>
        <w:numPr>
          <w:ilvl w:val="0"/>
          <w:numId w:val="47"/>
        </w:numPr>
        <w:spacing w:after="60"/>
        <w:contextualSpacing w:val="0"/>
        <w:rPr>
          <w:rFonts w:ascii="Arial" w:eastAsia="Arial" w:hAnsi="Arial" w:cs="Arial"/>
          <w:color w:val="211D1E"/>
          <w:lang w:val="en-GB"/>
        </w:rPr>
      </w:pPr>
      <w:r w:rsidRPr="00AC39BD">
        <w:rPr>
          <w:rFonts w:ascii="Arial" w:eastAsia="Arial" w:hAnsi="Arial" w:cs="Arial"/>
          <w:color w:val="211D1E"/>
          <w:lang w:val="en-GB"/>
        </w:rPr>
        <w:t xml:space="preserve">The </w:t>
      </w:r>
      <w:r w:rsidR="00E84062">
        <w:rPr>
          <w:rFonts w:ascii="Arial" w:eastAsia="Arial" w:hAnsi="Arial" w:cs="Arial"/>
          <w:color w:val="211D1E"/>
          <w:lang w:val="en-GB"/>
        </w:rPr>
        <w:t>EECC</w:t>
      </w:r>
      <w:r w:rsidRPr="00AC39BD">
        <w:rPr>
          <w:rFonts w:ascii="Arial" w:eastAsia="Arial" w:hAnsi="Arial" w:cs="Arial"/>
          <w:color w:val="211D1E"/>
          <w:lang w:val="en-GB"/>
        </w:rPr>
        <w:t xml:space="preserve"> further characterizes the co-investment agreements that may be subject to the provisions contained in </w:t>
      </w:r>
      <w:r w:rsidR="00FF487B">
        <w:rPr>
          <w:rFonts w:ascii="Arial" w:eastAsia="Arial" w:hAnsi="Arial" w:cs="Arial"/>
          <w:color w:val="211D1E"/>
          <w:lang w:val="en-GB"/>
        </w:rPr>
        <w:t>Article</w:t>
      </w:r>
      <w:r w:rsidRPr="00AC39BD">
        <w:rPr>
          <w:rFonts w:ascii="Arial" w:eastAsia="Arial" w:hAnsi="Arial" w:cs="Arial"/>
          <w:color w:val="211D1E"/>
          <w:lang w:val="en-GB"/>
        </w:rPr>
        <w:t xml:space="preserve"> 76. </w:t>
      </w:r>
      <w:r w:rsidRPr="006C152F">
        <w:rPr>
          <w:rFonts w:ascii="Arial" w:eastAsia="Arial" w:hAnsi="Arial" w:cs="Arial"/>
          <w:color w:val="211D1E"/>
          <w:lang w:val="en-GB"/>
        </w:rPr>
        <w:t xml:space="preserve">According to the </w:t>
      </w:r>
      <w:r w:rsidR="00E84062">
        <w:rPr>
          <w:rFonts w:ascii="Arial" w:eastAsia="Arial" w:hAnsi="Arial" w:cs="Arial"/>
          <w:color w:val="211D1E"/>
          <w:lang w:val="en-GB"/>
        </w:rPr>
        <w:t>EECC</w:t>
      </w:r>
      <w:r w:rsidRPr="006C152F">
        <w:rPr>
          <w:rFonts w:ascii="Arial" w:eastAsia="Arial" w:hAnsi="Arial" w:cs="Arial"/>
          <w:color w:val="211D1E"/>
          <w:lang w:val="en-GB"/>
        </w:rPr>
        <w:t xml:space="preserve">, SMP operators may offer commitments to open the </w:t>
      </w:r>
      <w:r w:rsidR="00F824DD">
        <w:rPr>
          <w:rFonts w:ascii="Arial" w:eastAsia="Arial" w:hAnsi="Arial" w:cs="Arial"/>
          <w:color w:val="211D1E"/>
          <w:lang w:val="en-GB"/>
        </w:rPr>
        <w:t xml:space="preserve">deployment of </w:t>
      </w:r>
      <w:r w:rsidRPr="006C152F">
        <w:rPr>
          <w:rFonts w:ascii="Arial" w:eastAsia="Arial" w:hAnsi="Arial" w:cs="Arial"/>
          <w:color w:val="211D1E"/>
          <w:lang w:val="en-GB"/>
        </w:rPr>
        <w:t>VHC</w:t>
      </w:r>
      <w:r>
        <w:rPr>
          <w:rFonts w:ascii="Arial" w:eastAsia="Arial" w:hAnsi="Arial" w:cs="Arial"/>
          <w:color w:val="211D1E"/>
          <w:lang w:val="en-GB"/>
        </w:rPr>
        <w:t xml:space="preserve">N </w:t>
      </w:r>
      <w:r w:rsidRPr="006C152F">
        <w:rPr>
          <w:rFonts w:ascii="Arial" w:eastAsia="Arial" w:hAnsi="Arial" w:cs="Arial"/>
          <w:color w:val="211D1E"/>
          <w:lang w:val="en-GB"/>
        </w:rPr>
        <w:t xml:space="preserve">to co-investment. </w:t>
      </w:r>
      <w:r w:rsidR="00046EDD">
        <w:rPr>
          <w:rFonts w:ascii="Arial" w:eastAsia="Arial" w:hAnsi="Arial" w:cs="Arial"/>
          <w:color w:val="211D1E"/>
          <w:lang w:val="en-GB"/>
        </w:rPr>
        <w:t>Article</w:t>
      </w:r>
      <w:r w:rsidRPr="006C152F">
        <w:rPr>
          <w:rFonts w:ascii="Arial" w:eastAsia="Arial" w:hAnsi="Arial" w:cs="Arial"/>
          <w:color w:val="211D1E"/>
          <w:lang w:val="en-GB"/>
        </w:rPr>
        <w:t xml:space="preserve"> 76 names co-ownership and long-term risk sharing as examples. The latter might take the form of co-financing or purchase agreements giving rise to specific rights of a structural character by other providers of electronic communications networks or services.</w:t>
      </w:r>
      <w:r>
        <w:rPr>
          <w:rFonts w:ascii="Arial" w:eastAsia="Arial" w:hAnsi="Arial" w:cs="Arial"/>
          <w:color w:val="211D1E"/>
          <w:lang w:val="en-GB"/>
        </w:rPr>
        <w:t xml:space="preserve"> </w:t>
      </w:r>
    </w:p>
    <w:p w14:paraId="7568BBF8" w14:textId="2B9C5994" w:rsidR="00491011" w:rsidRPr="00AC39BD" w:rsidRDefault="00491011" w:rsidP="0027611B">
      <w:pPr>
        <w:pStyle w:val="ListParagraph"/>
        <w:numPr>
          <w:ilvl w:val="0"/>
          <w:numId w:val="47"/>
        </w:numPr>
        <w:spacing w:after="60"/>
        <w:contextualSpacing w:val="0"/>
        <w:rPr>
          <w:rFonts w:ascii="Arial" w:eastAsia="Arial" w:hAnsi="Arial" w:cs="Arial"/>
          <w:color w:val="211D1E"/>
          <w:lang w:val="en-GB"/>
        </w:rPr>
      </w:pPr>
      <w:r w:rsidRPr="00AC39BD">
        <w:rPr>
          <w:rFonts w:ascii="Arial" w:eastAsia="Arial" w:hAnsi="Arial" w:cs="Arial"/>
          <w:color w:val="211D1E"/>
          <w:lang w:val="en-GB"/>
        </w:rPr>
        <w:t xml:space="preserve">The </w:t>
      </w:r>
      <w:r w:rsidR="00E84062">
        <w:rPr>
          <w:rFonts w:ascii="Arial" w:eastAsia="Arial" w:hAnsi="Arial" w:cs="Arial"/>
          <w:color w:val="211D1E"/>
          <w:lang w:val="en-GB"/>
        </w:rPr>
        <w:t>EECC</w:t>
      </w:r>
      <w:r w:rsidRPr="00AC39BD">
        <w:rPr>
          <w:rFonts w:ascii="Arial" w:eastAsia="Arial" w:hAnsi="Arial" w:cs="Arial"/>
          <w:color w:val="211D1E"/>
          <w:lang w:val="en-GB"/>
        </w:rPr>
        <w:t xml:space="preserve"> does not identify any particular co-investment model but makes a more generic reference to – among other possible scenarios </w:t>
      </w:r>
      <w:r w:rsidR="00F824DD">
        <w:rPr>
          <w:rFonts w:ascii="Arial" w:eastAsia="Arial" w:hAnsi="Arial" w:cs="Arial"/>
          <w:color w:val="211D1E"/>
          <w:lang w:val="en-GB"/>
        </w:rPr>
        <w:t>–</w:t>
      </w:r>
      <w:r w:rsidRPr="00AC39BD">
        <w:rPr>
          <w:rFonts w:ascii="Arial" w:eastAsia="Arial" w:hAnsi="Arial" w:cs="Arial"/>
          <w:color w:val="211D1E"/>
          <w:lang w:val="en-GB"/>
        </w:rPr>
        <w:t xml:space="preserve"> a cooperative structure based on either co-ownership or long-term risk sharing. </w:t>
      </w:r>
    </w:p>
    <w:p w14:paraId="4E001540" w14:textId="79062B26" w:rsidR="00491011" w:rsidRPr="00AC39BD" w:rsidRDefault="00491011" w:rsidP="0027611B">
      <w:pPr>
        <w:pStyle w:val="ListParagraph"/>
        <w:numPr>
          <w:ilvl w:val="0"/>
          <w:numId w:val="47"/>
        </w:numPr>
        <w:spacing w:after="60"/>
        <w:contextualSpacing w:val="0"/>
        <w:rPr>
          <w:rFonts w:ascii="Arial" w:eastAsia="Arial" w:hAnsi="Arial" w:cs="Arial"/>
          <w:color w:val="211D1E"/>
          <w:lang w:val="en-GB"/>
        </w:rPr>
      </w:pPr>
      <w:r w:rsidRPr="00AC39BD">
        <w:rPr>
          <w:rFonts w:ascii="Arial" w:eastAsia="Arial" w:hAnsi="Arial" w:cs="Arial"/>
          <w:color w:val="211D1E"/>
          <w:lang w:val="en-GB"/>
        </w:rPr>
        <w:t>As to the latter</w:t>
      </w:r>
      <w:r>
        <w:rPr>
          <w:rFonts w:ascii="Arial" w:eastAsia="Arial" w:hAnsi="Arial" w:cs="Arial"/>
          <w:color w:val="211D1E"/>
          <w:lang w:val="en-GB"/>
        </w:rPr>
        <w:t>,</w:t>
      </w:r>
      <w:r w:rsidRPr="00AC39BD">
        <w:rPr>
          <w:rFonts w:ascii="Arial" w:eastAsia="Arial" w:hAnsi="Arial" w:cs="Arial"/>
          <w:color w:val="211D1E"/>
          <w:lang w:val="en-GB"/>
        </w:rPr>
        <w:t xml:space="preserve"> the </w:t>
      </w:r>
      <w:r w:rsidR="00E84062">
        <w:rPr>
          <w:rFonts w:ascii="Arial" w:eastAsia="Arial" w:hAnsi="Arial" w:cs="Arial"/>
          <w:color w:val="211D1E"/>
          <w:lang w:val="en-GB"/>
        </w:rPr>
        <w:t>EECC</w:t>
      </w:r>
      <w:r w:rsidRPr="00AC39BD">
        <w:rPr>
          <w:rFonts w:ascii="Arial" w:eastAsia="Arial" w:hAnsi="Arial" w:cs="Arial"/>
          <w:color w:val="211D1E"/>
          <w:lang w:val="en-GB"/>
        </w:rPr>
        <w:t xml:space="preserve"> refers to the structural nature of purchase agreements by stating in Recital </w:t>
      </w:r>
      <w:r w:rsidR="00F824DD">
        <w:rPr>
          <w:rFonts w:ascii="Arial" w:eastAsia="Arial" w:hAnsi="Arial" w:cs="Arial"/>
          <w:color w:val="211D1E"/>
          <w:lang w:val="en-GB"/>
        </w:rPr>
        <w:t>(</w:t>
      </w:r>
      <w:r w:rsidRPr="00AC39BD">
        <w:rPr>
          <w:rFonts w:ascii="Arial" w:eastAsia="Arial" w:hAnsi="Arial" w:cs="Arial"/>
          <w:color w:val="211D1E"/>
          <w:lang w:val="en-GB"/>
        </w:rPr>
        <w:t>198</w:t>
      </w:r>
      <w:r w:rsidR="00F824DD">
        <w:rPr>
          <w:rFonts w:ascii="Arial" w:eastAsia="Arial" w:hAnsi="Arial" w:cs="Arial"/>
          <w:color w:val="211D1E"/>
          <w:lang w:val="en-GB"/>
        </w:rPr>
        <w:t>)</w:t>
      </w:r>
      <w:r w:rsidRPr="00AC39BD">
        <w:rPr>
          <w:rFonts w:ascii="Arial" w:eastAsia="Arial" w:hAnsi="Arial" w:cs="Arial"/>
          <w:color w:val="211D1E"/>
          <w:lang w:val="en-GB"/>
        </w:rPr>
        <w:t xml:space="preserve"> that </w:t>
      </w:r>
      <w:r w:rsidRPr="005551E5">
        <w:rPr>
          <w:rFonts w:ascii="Arial" w:eastAsia="Arial" w:hAnsi="Arial" w:cs="Arial"/>
          <w:i/>
          <w:iCs/>
          <w:color w:val="211D1E"/>
          <w:lang w:val="en-GB"/>
        </w:rPr>
        <w:t xml:space="preserve">“[…] purchase agreements which constitute co-investments entail the acquisition of specific rights to capacity of a structural character, involving a degree of co-determination and enabling co-investors to compete effectively and sustainably in the long term in downstream markets in which the undertaking designated as having significant market power is active. </w:t>
      </w:r>
      <w:r w:rsidRPr="00B92F71">
        <w:rPr>
          <w:rFonts w:ascii="Arial" w:eastAsia="Arial" w:hAnsi="Arial" w:cs="Arial"/>
          <w:i/>
          <w:iCs/>
          <w:color w:val="211D1E"/>
          <w:lang w:val="en-GB"/>
        </w:rPr>
        <w:t>By contrast, commercial access agreements that are limited to the rental of capacity do not give rise to such rights and therefore should not be considered to be co-investments</w:t>
      </w:r>
      <w:r w:rsidRPr="000154C3">
        <w:rPr>
          <w:rFonts w:ascii="Arial" w:eastAsia="Arial" w:hAnsi="Arial" w:cs="Arial"/>
          <w:i/>
          <w:iCs/>
          <w:color w:val="211D1E"/>
          <w:lang w:val="en-GB"/>
        </w:rPr>
        <w:t>.”</w:t>
      </w:r>
    </w:p>
    <w:p w14:paraId="743C1156" w14:textId="0F06534F" w:rsidR="00491011" w:rsidRPr="00AC39BD" w:rsidRDefault="00491011" w:rsidP="0027611B">
      <w:pPr>
        <w:pStyle w:val="ListParagraph"/>
        <w:numPr>
          <w:ilvl w:val="0"/>
          <w:numId w:val="47"/>
        </w:numPr>
        <w:spacing w:after="60"/>
        <w:contextualSpacing w:val="0"/>
        <w:rPr>
          <w:rFonts w:ascii="Arial" w:eastAsia="Arial" w:hAnsi="Arial" w:cs="Arial"/>
          <w:color w:val="211D1E"/>
          <w:lang w:val="en-GB"/>
        </w:rPr>
      </w:pPr>
      <w:r w:rsidRPr="00AC39BD">
        <w:rPr>
          <w:rFonts w:ascii="Arial" w:eastAsia="Arial" w:hAnsi="Arial" w:cs="Arial"/>
          <w:color w:val="211D1E"/>
          <w:lang w:val="en-GB"/>
        </w:rPr>
        <w:t xml:space="preserve">While acknowledging that the </w:t>
      </w:r>
      <w:r w:rsidR="00E84062">
        <w:rPr>
          <w:rFonts w:ascii="Arial" w:eastAsia="Arial" w:hAnsi="Arial" w:cs="Arial"/>
          <w:color w:val="211D1E"/>
          <w:lang w:val="en-GB"/>
        </w:rPr>
        <w:t>EECC</w:t>
      </w:r>
      <w:r w:rsidRPr="00AC39BD">
        <w:rPr>
          <w:rFonts w:ascii="Arial" w:eastAsia="Arial" w:hAnsi="Arial" w:cs="Arial"/>
          <w:color w:val="211D1E"/>
          <w:lang w:val="en-GB"/>
        </w:rPr>
        <w:t xml:space="preserve"> only refers to structural rights in the context of purchase agreements</w:t>
      </w:r>
      <w:r>
        <w:rPr>
          <w:rFonts w:ascii="Arial" w:eastAsia="Arial" w:hAnsi="Arial" w:cs="Arial"/>
          <w:color w:val="211D1E"/>
          <w:lang w:val="en-GB"/>
        </w:rPr>
        <w:t>,</w:t>
      </w:r>
      <w:r w:rsidRPr="00AC39BD">
        <w:rPr>
          <w:rFonts w:ascii="Arial" w:eastAsia="Arial" w:hAnsi="Arial" w:cs="Arial"/>
          <w:color w:val="211D1E"/>
          <w:lang w:val="en-GB"/>
        </w:rPr>
        <w:t xml:space="preserve"> BEREC considers that the structural nature would </w:t>
      </w:r>
      <w:r>
        <w:rPr>
          <w:rFonts w:ascii="Arial" w:eastAsia="Arial" w:hAnsi="Arial" w:cs="Arial"/>
          <w:color w:val="211D1E"/>
          <w:lang w:val="en-GB"/>
        </w:rPr>
        <w:t>constitute an important underlying consideration when assessing</w:t>
      </w:r>
      <w:r w:rsidRPr="00AC39BD">
        <w:rPr>
          <w:rFonts w:ascii="Arial" w:eastAsia="Arial" w:hAnsi="Arial" w:cs="Arial"/>
          <w:color w:val="211D1E"/>
          <w:lang w:val="en-GB"/>
        </w:rPr>
        <w:t xml:space="preserve"> a</w:t>
      </w:r>
      <w:r>
        <w:rPr>
          <w:rFonts w:ascii="Arial" w:eastAsia="Arial" w:hAnsi="Arial" w:cs="Arial"/>
          <w:color w:val="211D1E"/>
          <w:lang w:val="en-GB"/>
        </w:rPr>
        <w:t>ny</w:t>
      </w:r>
      <w:r w:rsidRPr="00AC39BD">
        <w:rPr>
          <w:rFonts w:ascii="Arial" w:eastAsia="Arial" w:hAnsi="Arial" w:cs="Arial"/>
          <w:color w:val="211D1E"/>
          <w:lang w:val="en-GB"/>
        </w:rPr>
        <w:t xml:space="preserve"> co-investment agreement under </w:t>
      </w:r>
      <w:r w:rsidR="00FF487B">
        <w:rPr>
          <w:rFonts w:ascii="Arial" w:eastAsia="Arial" w:hAnsi="Arial" w:cs="Arial"/>
          <w:color w:val="211D1E"/>
          <w:lang w:val="en-GB"/>
        </w:rPr>
        <w:t>Article</w:t>
      </w:r>
      <w:r>
        <w:rPr>
          <w:rFonts w:ascii="Arial" w:eastAsia="Arial" w:hAnsi="Arial" w:cs="Arial"/>
          <w:color w:val="211D1E"/>
          <w:lang w:val="en-GB"/>
        </w:rPr>
        <w:t xml:space="preserve"> </w:t>
      </w:r>
      <w:r w:rsidRPr="00AC39BD">
        <w:rPr>
          <w:rFonts w:ascii="Arial" w:eastAsia="Arial" w:hAnsi="Arial" w:cs="Arial"/>
          <w:color w:val="211D1E"/>
          <w:lang w:val="en-GB"/>
        </w:rPr>
        <w:t xml:space="preserve">76. </w:t>
      </w:r>
    </w:p>
    <w:p w14:paraId="3F720F52" w14:textId="738D1BE7" w:rsidR="00491011" w:rsidRPr="00AC39BD" w:rsidRDefault="00491011" w:rsidP="00160630">
      <w:pPr>
        <w:pStyle w:val="ListParagraph"/>
        <w:numPr>
          <w:ilvl w:val="0"/>
          <w:numId w:val="47"/>
        </w:numPr>
        <w:spacing w:after="60"/>
        <w:contextualSpacing w:val="0"/>
        <w:rPr>
          <w:rFonts w:ascii="Arial" w:eastAsia="Arial" w:hAnsi="Arial" w:cs="Arial"/>
          <w:color w:val="211D1E"/>
          <w:lang w:val="en-GB"/>
        </w:rPr>
      </w:pPr>
      <w:r w:rsidRPr="00AC39BD">
        <w:rPr>
          <w:rFonts w:ascii="Arial" w:eastAsia="Arial" w:hAnsi="Arial" w:cs="Arial"/>
          <w:color w:val="211D1E"/>
          <w:lang w:val="en-GB"/>
        </w:rPr>
        <w:t xml:space="preserve">The structural nature of the agreement is compatible with various business models for co-investment. In view of this, BEREC considers that at least the following </w:t>
      </w:r>
      <w:r>
        <w:rPr>
          <w:rFonts w:ascii="Arial" w:eastAsia="Arial" w:hAnsi="Arial" w:cs="Arial"/>
          <w:color w:val="211D1E"/>
          <w:lang w:val="en-GB"/>
        </w:rPr>
        <w:t xml:space="preserve">co-investment </w:t>
      </w:r>
      <w:r w:rsidRPr="00AC39BD">
        <w:rPr>
          <w:rFonts w:ascii="Arial" w:eastAsia="Arial" w:hAnsi="Arial" w:cs="Arial"/>
          <w:color w:val="211D1E"/>
          <w:lang w:val="en-GB"/>
        </w:rPr>
        <w:t xml:space="preserve">models </w:t>
      </w:r>
      <w:r>
        <w:rPr>
          <w:rFonts w:ascii="Arial" w:eastAsia="Arial" w:hAnsi="Arial" w:cs="Arial"/>
          <w:color w:val="211D1E"/>
          <w:lang w:val="en-GB"/>
        </w:rPr>
        <w:t>as well as possible combinations of these</w:t>
      </w:r>
      <w:r w:rsidRPr="00AC39BD">
        <w:rPr>
          <w:rFonts w:ascii="Arial" w:eastAsia="Arial" w:hAnsi="Arial" w:cs="Arial"/>
          <w:color w:val="211D1E"/>
          <w:lang w:val="en-GB"/>
        </w:rPr>
        <w:t xml:space="preserve"> may be able to qualify as co-investments </w:t>
      </w:r>
      <w:r w:rsidRPr="00AC39BD">
        <w:rPr>
          <w:rFonts w:ascii="Arial" w:eastAsia="Arial" w:hAnsi="Arial" w:cs="Arial"/>
          <w:color w:val="211D1E"/>
          <w:lang w:val="en-GB"/>
        </w:rPr>
        <w:lastRenderedPageBreak/>
        <w:t xml:space="preserve">under </w:t>
      </w:r>
      <w:r w:rsidR="00FF487B">
        <w:rPr>
          <w:rFonts w:ascii="Arial" w:eastAsia="Arial" w:hAnsi="Arial" w:cs="Arial"/>
          <w:color w:val="211D1E"/>
          <w:lang w:val="en-GB"/>
        </w:rPr>
        <w:t>Article</w:t>
      </w:r>
      <w:r w:rsidRPr="00AC39BD">
        <w:rPr>
          <w:rFonts w:ascii="Arial" w:eastAsia="Arial" w:hAnsi="Arial" w:cs="Arial"/>
          <w:color w:val="211D1E"/>
          <w:lang w:val="en-GB"/>
        </w:rPr>
        <w:t xml:space="preserve"> 76: 1) joint-venture, 2) reciprocal access and 3) one-way access</w:t>
      </w:r>
      <w:r>
        <w:rPr>
          <w:rFonts w:ascii="Arial" w:eastAsia="Arial" w:hAnsi="Arial" w:cs="Arial"/>
          <w:color w:val="211D1E"/>
          <w:lang w:val="en-GB"/>
        </w:rPr>
        <w:t>.</w:t>
      </w:r>
      <w:r w:rsidRPr="00AC39BD">
        <w:rPr>
          <w:rFonts w:ascii="Arial" w:eastAsia="Arial" w:hAnsi="Arial" w:cs="Arial"/>
          <w:color w:val="211D1E"/>
          <w:lang w:val="en-GB"/>
        </w:rPr>
        <w:t xml:space="preserve"> These are described as follows: </w:t>
      </w:r>
    </w:p>
    <w:p w14:paraId="15C29907" w14:textId="77777777" w:rsidR="00491011" w:rsidRPr="002510B0" w:rsidRDefault="00491011" w:rsidP="002510B0">
      <w:pPr>
        <w:pStyle w:val="ListParagraph"/>
        <w:numPr>
          <w:ilvl w:val="0"/>
          <w:numId w:val="62"/>
        </w:numPr>
        <w:tabs>
          <w:tab w:val="left" w:pos="900"/>
          <w:tab w:val="left" w:pos="1080"/>
        </w:tabs>
        <w:rPr>
          <w:rFonts w:ascii="Arial" w:eastAsia="Arial" w:hAnsi="Arial" w:cs="Arial"/>
          <w:lang w:val="en-IE"/>
        </w:rPr>
      </w:pPr>
      <w:r w:rsidRPr="002510B0">
        <w:rPr>
          <w:rFonts w:ascii="Arial" w:eastAsia="Arial" w:hAnsi="Arial" w:cs="Arial"/>
          <w:lang w:val="en-IE"/>
        </w:rPr>
        <w:t xml:space="preserve">Under the </w:t>
      </w:r>
      <w:r w:rsidRPr="002510B0">
        <w:rPr>
          <w:rFonts w:ascii="Arial" w:eastAsia="Arial" w:hAnsi="Arial" w:cs="Arial"/>
          <w:b/>
          <w:lang w:val="en-IE"/>
        </w:rPr>
        <w:t>joint-venture model</w:t>
      </w:r>
      <w:r w:rsidRPr="002510B0">
        <w:rPr>
          <w:rFonts w:ascii="Arial" w:eastAsia="Arial" w:hAnsi="Arial" w:cs="Arial"/>
          <w:lang w:val="en-IE"/>
        </w:rPr>
        <w:t xml:space="preserve">, the SMP operator would offer co-ownership to other providers of electronic communications networks and/or services. The SMP operator and the other co-investor(s) would be co-owners of a new entity/company (co-investment vehicle). The resulting company would be responsible for rolling out the VHCN. </w:t>
      </w:r>
    </w:p>
    <w:p w14:paraId="65756C05" w14:textId="77777777" w:rsidR="00491011" w:rsidRPr="002510B0" w:rsidRDefault="00491011" w:rsidP="002510B0">
      <w:pPr>
        <w:pStyle w:val="ListParagraph"/>
        <w:numPr>
          <w:ilvl w:val="0"/>
          <w:numId w:val="62"/>
        </w:numPr>
        <w:tabs>
          <w:tab w:val="left" w:pos="900"/>
          <w:tab w:val="left" w:pos="1080"/>
        </w:tabs>
        <w:rPr>
          <w:rFonts w:ascii="Arial" w:eastAsia="Arial" w:hAnsi="Arial" w:cs="Arial"/>
          <w:lang w:val="en-IE"/>
        </w:rPr>
      </w:pPr>
      <w:r w:rsidRPr="002510B0">
        <w:rPr>
          <w:rFonts w:ascii="Arial" w:eastAsia="Arial" w:hAnsi="Arial" w:cs="Arial"/>
          <w:lang w:val="en-IE"/>
        </w:rPr>
        <w:t xml:space="preserve">Under the </w:t>
      </w:r>
      <w:r w:rsidRPr="002510B0">
        <w:rPr>
          <w:rFonts w:ascii="Arial" w:eastAsia="Arial" w:hAnsi="Arial" w:cs="Arial"/>
          <w:b/>
          <w:lang w:val="en-IE"/>
        </w:rPr>
        <w:t>reciprocal access model</w:t>
      </w:r>
      <w:r w:rsidRPr="002510B0">
        <w:rPr>
          <w:rFonts w:ascii="Arial" w:eastAsia="Arial" w:hAnsi="Arial" w:cs="Arial"/>
          <w:lang w:val="en-IE"/>
        </w:rPr>
        <w:t xml:space="preserve">, the SMP operator and the co-investor(s) would reach a long-term risk sharing agreement whereby they would be responsible for deploying and operating their respective own VHCN in geographically separate areas. Each co-investor has access to all other VHCN. </w:t>
      </w:r>
    </w:p>
    <w:p w14:paraId="64BDEAC9" w14:textId="77777777" w:rsidR="00491011" w:rsidRPr="002510B0" w:rsidRDefault="00491011" w:rsidP="0027611B">
      <w:pPr>
        <w:pStyle w:val="ListParagraph"/>
        <w:numPr>
          <w:ilvl w:val="0"/>
          <w:numId w:val="62"/>
        </w:numPr>
        <w:tabs>
          <w:tab w:val="left" w:pos="900"/>
          <w:tab w:val="left" w:pos="1080"/>
        </w:tabs>
        <w:spacing w:after="60"/>
        <w:ind w:left="986" w:hanging="357"/>
        <w:contextualSpacing w:val="0"/>
        <w:rPr>
          <w:rFonts w:ascii="Arial" w:eastAsia="Arial" w:hAnsi="Arial" w:cs="Arial"/>
          <w:lang w:val="en-IE"/>
        </w:rPr>
      </w:pPr>
      <w:r w:rsidRPr="002510B0">
        <w:rPr>
          <w:rFonts w:ascii="Arial" w:eastAsia="Arial" w:hAnsi="Arial" w:cs="Arial"/>
          <w:lang w:val="en-IE"/>
        </w:rPr>
        <w:t xml:space="preserve">Under the </w:t>
      </w:r>
      <w:r w:rsidRPr="002510B0">
        <w:rPr>
          <w:rFonts w:ascii="Arial" w:eastAsia="Arial" w:hAnsi="Arial" w:cs="Arial"/>
          <w:b/>
          <w:lang w:val="en-IE"/>
        </w:rPr>
        <w:t>one-way access model</w:t>
      </w:r>
      <w:r w:rsidRPr="002510B0">
        <w:rPr>
          <w:rFonts w:ascii="Arial" w:eastAsia="Arial" w:hAnsi="Arial" w:cs="Arial"/>
          <w:lang w:val="en-IE"/>
        </w:rPr>
        <w:t>, the SMP operator and the co-investor(s) would reach a long-term risk sharing agreement whereby the former would build up the VHCN and grant access to this network to the other co-investor(s)</w:t>
      </w:r>
      <w:r w:rsidR="00B10672">
        <w:rPr>
          <w:rStyle w:val="FootnoteReference"/>
          <w:rFonts w:ascii="Arial" w:eastAsia="Arial" w:hAnsi="Arial" w:cs="Arial"/>
          <w:lang w:val="en-IE"/>
        </w:rPr>
        <w:footnoteReference w:id="16"/>
      </w:r>
      <w:r w:rsidRPr="002510B0">
        <w:rPr>
          <w:rFonts w:ascii="Arial" w:eastAsia="Arial" w:hAnsi="Arial" w:cs="Arial"/>
          <w:lang w:val="en-IE"/>
        </w:rPr>
        <w:t>.</w:t>
      </w:r>
      <w:r w:rsidRPr="00F824DD" w:rsidDel="006C152F">
        <w:rPr>
          <w:rStyle w:val="FootnoteReference"/>
          <w:rFonts w:ascii="Arial" w:eastAsia="Arial" w:hAnsi="Arial" w:cs="Arial"/>
          <w:lang w:val="en-IE"/>
        </w:rPr>
        <w:t xml:space="preserve"> </w:t>
      </w:r>
    </w:p>
    <w:p w14:paraId="64E4FB3B" w14:textId="75AA507A" w:rsidR="00491011" w:rsidRPr="00AC39BD" w:rsidRDefault="00491011" w:rsidP="0027611B">
      <w:pPr>
        <w:pStyle w:val="ListParagraph"/>
        <w:numPr>
          <w:ilvl w:val="0"/>
          <w:numId w:val="47"/>
        </w:numPr>
        <w:spacing w:after="60"/>
        <w:contextualSpacing w:val="0"/>
        <w:rPr>
          <w:rFonts w:ascii="Arial" w:eastAsia="Arial" w:hAnsi="Arial" w:cs="Arial"/>
          <w:color w:val="211D1E"/>
          <w:lang w:val="en-GB"/>
        </w:rPr>
      </w:pPr>
      <w:r w:rsidRPr="00AC39BD">
        <w:rPr>
          <w:rFonts w:ascii="Arial" w:eastAsia="Arial" w:hAnsi="Arial" w:cs="Arial"/>
          <w:color w:val="211D1E"/>
          <w:lang w:val="en-GB"/>
        </w:rPr>
        <w:t xml:space="preserve">This list is not exhaustive and the providers </w:t>
      </w:r>
      <w:r>
        <w:rPr>
          <w:rFonts w:ascii="Arial" w:eastAsia="Arial" w:hAnsi="Arial" w:cs="Arial"/>
          <w:color w:val="211D1E"/>
          <w:lang w:val="en-GB"/>
        </w:rPr>
        <w:t>of</w:t>
      </w:r>
      <w:r w:rsidRPr="00AC39BD">
        <w:rPr>
          <w:rFonts w:ascii="Arial" w:eastAsia="Arial" w:hAnsi="Arial" w:cs="Arial"/>
          <w:color w:val="211D1E"/>
          <w:lang w:val="en-GB"/>
        </w:rPr>
        <w:t xml:space="preserve"> electronic communications </w:t>
      </w:r>
      <w:r w:rsidRPr="00181E19">
        <w:rPr>
          <w:rFonts w:ascii="Arial" w:eastAsia="Arial" w:hAnsi="Arial" w:cs="Arial"/>
          <w:color w:val="211D1E"/>
          <w:lang w:val="en-GB"/>
        </w:rPr>
        <w:t xml:space="preserve">networks and/or </w:t>
      </w:r>
      <w:r w:rsidRPr="00AC39BD">
        <w:rPr>
          <w:rFonts w:ascii="Arial" w:eastAsia="Arial" w:hAnsi="Arial" w:cs="Arial"/>
          <w:color w:val="211D1E"/>
          <w:lang w:val="en-GB"/>
        </w:rPr>
        <w:t xml:space="preserve">services might conclude other types of co-investment agreements that may also fall under </w:t>
      </w:r>
      <w:r w:rsidR="00FF487B">
        <w:rPr>
          <w:rFonts w:ascii="Arial" w:eastAsia="Arial" w:hAnsi="Arial" w:cs="Arial"/>
          <w:color w:val="211D1E"/>
          <w:lang w:val="en-GB"/>
        </w:rPr>
        <w:t>Article</w:t>
      </w:r>
      <w:r>
        <w:rPr>
          <w:rFonts w:ascii="Arial" w:eastAsia="Arial" w:hAnsi="Arial" w:cs="Arial"/>
          <w:color w:val="211D1E"/>
          <w:lang w:val="en-GB"/>
        </w:rPr>
        <w:t xml:space="preserve"> </w:t>
      </w:r>
      <w:r w:rsidRPr="00AC39BD">
        <w:rPr>
          <w:rFonts w:ascii="Arial" w:eastAsia="Arial" w:hAnsi="Arial" w:cs="Arial"/>
          <w:color w:val="211D1E"/>
          <w:lang w:val="en-GB"/>
        </w:rPr>
        <w:t xml:space="preserve">76. For instance, they could combine features of the abovementioned </w:t>
      </w:r>
      <w:r>
        <w:rPr>
          <w:rFonts w:ascii="Arial" w:eastAsia="Arial" w:hAnsi="Arial" w:cs="Arial"/>
          <w:color w:val="211D1E"/>
          <w:lang w:val="en-GB"/>
        </w:rPr>
        <w:t>co-investment</w:t>
      </w:r>
      <w:r w:rsidRPr="00AC39BD">
        <w:rPr>
          <w:rFonts w:ascii="Arial" w:eastAsia="Arial" w:hAnsi="Arial" w:cs="Arial"/>
          <w:color w:val="211D1E"/>
          <w:lang w:val="en-GB"/>
        </w:rPr>
        <w:t xml:space="preserve"> models.</w:t>
      </w:r>
    </w:p>
    <w:p w14:paraId="3F86FAF3" w14:textId="19FAB9E9" w:rsidR="00491011" w:rsidRPr="00AC39BD" w:rsidRDefault="00491011" w:rsidP="0027611B">
      <w:pPr>
        <w:pStyle w:val="ListParagraph"/>
        <w:numPr>
          <w:ilvl w:val="0"/>
          <w:numId w:val="47"/>
        </w:numPr>
        <w:spacing w:after="60"/>
        <w:contextualSpacing w:val="0"/>
        <w:rPr>
          <w:rFonts w:ascii="Arial" w:eastAsia="Arial" w:hAnsi="Arial" w:cs="Arial"/>
          <w:color w:val="211D1E"/>
          <w:lang w:val="en-GB"/>
        </w:rPr>
      </w:pPr>
      <w:r w:rsidRPr="00AC39BD">
        <w:rPr>
          <w:rFonts w:ascii="Arial" w:eastAsia="Arial" w:hAnsi="Arial" w:cs="Arial"/>
          <w:color w:val="211D1E"/>
          <w:lang w:val="en-GB"/>
        </w:rPr>
        <w:t xml:space="preserve">The structural nature of the co-investment agreements under the joint-venture and reciprocal access models will in general be relatively straightforward. This is particularly the case of the reciprocal access model where each party owns its own network and grants access to other co-investors, in exchange for an equivalent treatment. </w:t>
      </w:r>
    </w:p>
    <w:p w14:paraId="38560110" w14:textId="56EE1838" w:rsidR="00491011" w:rsidRPr="00AC39BD" w:rsidRDefault="00491011" w:rsidP="0027611B">
      <w:pPr>
        <w:pStyle w:val="ListParagraph"/>
        <w:numPr>
          <w:ilvl w:val="0"/>
          <w:numId w:val="47"/>
        </w:numPr>
        <w:spacing w:after="60"/>
        <w:contextualSpacing w:val="0"/>
        <w:rPr>
          <w:rFonts w:ascii="Arial" w:eastAsia="Arial" w:hAnsi="Arial" w:cs="Arial"/>
          <w:color w:val="211D1E"/>
          <w:lang w:val="en-GB"/>
        </w:rPr>
      </w:pPr>
      <w:r>
        <w:rPr>
          <w:rFonts w:ascii="Arial" w:eastAsia="Arial" w:hAnsi="Arial" w:cs="Arial"/>
          <w:color w:val="211D1E"/>
          <w:lang w:val="en-GB"/>
        </w:rPr>
        <w:t>Regarding joint-ventures, t</w:t>
      </w:r>
      <w:r w:rsidRPr="00AC39BD">
        <w:rPr>
          <w:rFonts w:ascii="Arial" w:eastAsia="Arial" w:hAnsi="Arial" w:cs="Arial"/>
          <w:color w:val="211D1E"/>
          <w:lang w:val="en-GB"/>
        </w:rPr>
        <w:t>he implementation and the details of any given joint-venture may differ from one agreement to another. These potential differences, however, would not change the structural nature of this type of agreements as such. In particular, regardless of the concrete details of the ownership arrangements, a common characteristic in the joint-venture model will normally be that the co-investors own a relative stake of the new company and thus are entitled to participate in the decision-making process concerning new investments, upgrades of the network, entry of a new partner, etc</w:t>
      </w:r>
      <w:r>
        <w:rPr>
          <w:rFonts w:ascii="Arial" w:eastAsia="Arial" w:hAnsi="Arial" w:cs="Arial"/>
          <w:color w:val="211D1E"/>
          <w:lang w:val="en-GB"/>
        </w:rPr>
        <w:t>.</w:t>
      </w:r>
      <w:r w:rsidRPr="00AC39BD">
        <w:rPr>
          <w:rFonts w:ascii="Arial" w:eastAsia="Arial" w:hAnsi="Arial" w:cs="Arial"/>
          <w:color w:val="211D1E"/>
          <w:lang w:val="en-GB"/>
        </w:rPr>
        <w:t xml:space="preserve"> </w:t>
      </w:r>
    </w:p>
    <w:p w14:paraId="567392E9" w14:textId="3DE558E4" w:rsidR="00491011" w:rsidRPr="00AC39BD" w:rsidRDefault="0048596E" w:rsidP="0027611B">
      <w:pPr>
        <w:pStyle w:val="ListParagraph"/>
        <w:numPr>
          <w:ilvl w:val="0"/>
          <w:numId w:val="47"/>
        </w:numPr>
        <w:spacing w:after="60"/>
        <w:contextualSpacing w:val="0"/>
        <w:rPr>
          <w:rFonts w:ascii="Arial" w:eastAsia="Arial" w:hAnsi="Arial" w:cs="Arial"/>
          <w:color w:val="211D1E"/>
          <w:lang w:val="en-GB"/>
        </w:rPr>
      </w:pPr>
      <w:r>
        <w:rPr>
          <w:rFonts w:ascii="Arial" w:eastAsia="Arial" w:hAnsi="Arial" w:cs="Arial"/>
          <w:color w:val="211D1E"/>
          <w:lang w:val="en-GB"/>
        </w:rPr>
        <w:t>Finally</w:t>
      </w:r>
      <w:r w:rsidR="00491011">
        <w:rPr>
          <w:rFonts w:ascii="Arial" w:eastAsia="Arial" w:hAnsi="Arial" w:cs="Arial"/>
          <w:color w:val="211D1E"/>
          <w:lang w:val="en-GB"/>
        </w:rPr>
        <w:t>, d</w:t>
      </w:r>
      <w:r w:rsidR="00491011" w:rsidRPr="00AC39BD">
        <w:rPr>
          <w:rFonts w:ascii="Arial" w:eastAsia="Arial" w:hAnsi="Arial" w:cs="Arial"/>
          <w:color w:val="211D1E"/>
          <w:lang w:val="en-GB"/>
        </w:rPr>
        <w:t xml:space="preserve">etermining the structural nature of the one-way access model requires a case-by-case analysis. Such agreements could be implemented via long-term co-financing schemes that foresee minimum buying commitments and volume discounts or take the form of purchase agreements through Indefeasible Rights of Use (hereafter </w:t>
      </w:r>
      <w:r>
        <w:rPr>
          <w:rFonts w:ascii="Arial" w:eastAsia="Arial" w:hAnsi="Arial" w:cs="Arial"/>
          <w:color w:val="211D1E"/>
          <w:lang w:val="en-GB"/>
        </w:rPr>
        <w:t>“</w:t>
      </w:r>
      <w:r w:rsidR="00491011" w:rsidRPr="00AC39BD">
        <w:rPr>
          <w:rFonts w:ascii="Arial" w:eastAsia="Arial" w:hAnsi="Arial" w:cs="Arial"/>
          <w:color w:val="211D1E"/>
          <w:lang w:val="en-GB"/>
        </w:rPr>
        <w:t>IRUs</w:t>
      </w:r>
      <w:r>
        <w:rPr>
          <w:rFonts w:ascii="Arial" w:eastAsia="Arial" w:hAnsi="Arial" w:cs="Arial"/>
          <w:color w:val="211D1E"/>
          <w:lang w:val="en-GB"/>
        </w:rPr>
        <w:t>”</w:t>
      </w:r>
      <w:r w:rsidR="00491011" w:rsidRPr="00AC39BD">
        <w:rPr>
          <w:rFonts w:ascii="Arial" w:eastAsia="Arial" w:hAnsi="Arial" w:cs="Arial"/>
          <w:color w:val="211D1E"/>
          <w:lang w:val="en-GB"/>
        </w:rPr>
        <w:t xml:space="preserve">). </w:t>
      </w:r>
    </w:p>
    <w:p w14:paraId="2AD7D527" w14:textId="68FF9D8E" w:rsidR="00491011" w:rsidRPr="00AC39BD" w:rsidRDefault="0032143D" w:rsidP="0027611B">
      <w:pPr>
        <w:pStyle w:val="ListParagraph"/>
        <w:numPr>
          <w:ilvl w:val="0"/>
          <w:numId w:val="47"/>
        </w:numPr>
        <w:spacing w:after="60"/>
        <w:contextualSpacing w:val="0"/>
        <w:rPr>
          <w:rFonts w:ascii="Arial" w:eastAsia="Arial" w:hAnsi="Arial" w:cs="Arial"/>
          <w:color w:val="211D1E"/>
          <w:lang w:val="en-GB"/>
        </w:rPr>
      </w:pPr>
      <w:r>
        <w:rPr>
          <w:rFonts w:ascii="Arial" w:eastAsia="Arial" w:hAnsi="Arial" w:cs="Arial"/>
          <w:color w:val="211D1E"/>
          <w:lang w:val="en-GB"/>
        </w:rPr>
        <w:t>The</w:t>
      </w:r>
      <w:r w:rsidR="00B92F71" w:rsidRPr="00B92F71">
        <w:rPr>
          <w:rFonts w:ascii="Arial" w:eastAsia="Arial" w:hAnsi="Arial" w:cs="Arial"/>
          <w:color w:val="211D1E"/>
          <w:lang w:val="en-GB"/>
        </w:rPr>
        <w:t xml:space="preserve"> one-way access model based on purchase agreements</w:t>
      </w:r>
      <w:r>
        <w:rPr>
          <w:rFonts w:ascii="Arial" w:eastAsia="Arial" w:hAnsi="Arial" w:cs="Arial"/>
          <w:color w:val="211D1E"/>
          <w:lang w:val="en-GB"/>
        </w:rPr>
        <w:t xml:space="preserve"> provides</w:t>
      </w:r>
      <w:r w:rsidR="00B92F71" w:rsidRPr="00B92F71">
        <w:rPr>
          <w:rFonts w:ascii="Arial" w:eastAsia="Arial" w:hAnsi="Arial" w:cs="Arial"/>
          <w:color w:val="211D1E"/>
          <w:lang w:val="en-GB"/>
        </w:rPr>
        <w:t xml:space="preserve"> </w:t>
      </w:r>
      <w:r w:rsidR="00491011" w:rsidRPr="00AC39BD">
        <w:rPr>
          <w:rFonts w:ascii="Arial" w:eastAsia="Arial" w:hAnsi="Arial" w:cs="Arial"/>
          <w:color w:val="211D1E"/>
          <w:lang w:val="en-GB"/>
        </w:rPr>
        <w:t>the IRU</w:t>
      </w:r>
      <w:r w:rsidR="00491011">
        <w:rPr>
          <w:rFonts w:ascii="Arial" w:eastAsia="Arial" w:hAnsi="Arial" w:cs="Arial"/>
          <w:color w:val="211D1E"/>
          <w:lang w:val="en-GB"/>
        </w:rPr>
        <w:t>s’</w:t>
      </w:r>
      <w:r w:rsidR="00491011" w:rsidRPr="00AC39BD">
        <w:rPr>
          <w:rFonts w:ascii="Arial" w:eastAsia="Arial" w:hAnsi="Arial" w:cs="Arial"/>
          <w:color w:val="211D1E"/>
          <w:lang w:val="en-GB"/>
        </w:rPr>
        <w:t xml:space="preserve"> holders with some of the characteristics that are associated with ownership such as the right to exclusive use over long-term periods, </w:t>
      </w:r>
      <w:r w:rsidR="00491011">
        <w:rPr>
          <w:rFonts w:ascii="Arial" w:eastAsia="Arial" w:hAnsi="Arial" w:cs="Arial"/>
          <w:color w:val="211D1E"/>
          <w:lang w:val="en-GB"/>
        </w:rPr>
        <w:t>although it may</w:t>
      </w:r>
      <w:r w:rsidR="00491011" w:rsidRPr="00AC39BD">
        <w:rPr>
          <w:rFonts w:ascii="Arial" w:eastAsia="Arial" w:hAnsi="Arial" w:cs="Arial"/>
          <w:color w:val="211D1E"/>
          <w:lang w:val="en-GB"/>
        </w:rPr>
        <w:t xml:space="preserve"> grant the holders </w:t>
      </w:r>
      <w:r w:rsidR="00491011">
        <w:rPr>
          <w:rFonts w:ascii="Arial" w:eastAsia="Arial" w:hAnsi="Arial" w:cs="Arial"/>
          <w:color w:val="211D1E"/>
          <w:lang w:val="en-GB"/>
        </w:rPr>
        <w:t>with a limited</w:t>
      </w:r>
      <w:r w:rsidR="00491011" w:rsidRPr="00AC39BD">
        <w:rPr>
          <w:rFonts w:ascii="Arial" w:eastAsia="Arial" w:hAnsi="Arial" w:cs="Arial"/>
          <w:color w:val="211D1E"/>
          <w:lang w:val="en-GB"/>
        </w:rPr>
        <w:t xml:space="preserve"> degree of co-determination and/or the right to make decisions on new investments, upgrades, etc. </w:t>
      </w:r>
      <w:r w:rsidR="00491011" w:rsidRPr="00AC39BD">
        <w:rPr>
          <w:rFonts w:ascii="Arial" w:eastAsia="Arial" w:hAnsi="Arial" w:cs="Arial"/>
          <w:color w:val="211D1E"/>
          <w:lang w:val="en-GB"/>
        </w:rPr>
        <w:lastRenderedPageBreak/>
        <w:t>Alongside the ownership structure, other factors such as the governance structure provided for in the agreement may in this regard become relevant</w:t>
      </w:r>
      <w:r w:rsidR="00491011" w:rsidRPr="00FA7D94">
        <w:rPr>
          <w:rFonts w:ascii="Arial" w:eastAsia="Arial" w:hAnsi="Arial" w:cs="Arial"/>
          <w:color w:val="211D1E"/>
          <w:vertAlign w:val="superscript"/>
          <w:lang w:val="en-GB"/>
        </w:rPr>
        <w:footnoteReference w:id="17"/>
      </w:r>
      <w:r w:rsidR="00491011" w:rsidRPr="00AC39BD">
        <w:rPr>
          <w:rFonts w:ascii="Arial" w:eastAsia="Arial" w:hAnsi="Arial" w:cs="Arial"/>
          <w:color w:val="211D1E"/>
          <w:lang w:val="en-GB"/>
        </w:rPr>
        <w:t>.</w:t>
      </w:r>
    </w:p>
    <w:p w14:paraId="35191136" w14:textId="2996BA34" w:rsidR="005F0471" w:rsidRPr="00325A93" w:rsidRDefault="00491011" w:rsidP="00B43874">
      <w:pPr>
        <w:pStyle w:val="ListParagraph"/>
        <w:numPr>
          <w:ilvl w:val="0"/>
          <w:numId w:val="47"/>
        </w:numPr>
        <w:rPr>
          <w:rFonts w:ascii="Arial" w:eastAsia="Arial" w:hAnsi="Arial" w:cs="Arial"/>
          <w:lang w:val="en-IE"/>
        </w:rPr>
      </w:pPr>
      <w:r w:rsidRPr="00325A93">
        <w:rPr>
          <w:rFonts w:ascii="Arial" w:eastAsia="Arial" w:hAnsi="Arial" w:cs="Arial"/>
          <w:color w:val="211D1E"/>
          <w:lang w:val="en-GB"/>
        </w:rPr>
        <w:t xml:space="preserve">In that context, providing the co-investors with sufficient capacity to take relevant strategic decisions as to, for instance (and depending on the specific type of agreement and business model), the roll-out, maintenance of the VHCN, the service provision and the adaptation/evolution of the agreement may in many cases be an important element to take into consideration in the assessment of the agreement, as highlighted in Recital </w:t>
      </w:r>
      <w:r w:rsidR="0048596E" w:rsidRPr="00325A93">
        <w:rPr>
          <w:rFonts w:ascii="Arial" w:eastAsia="Arial" w:hAnsi="Arial" w:cs="Arial"/>
          <w:color w:val="211D1E"/>
          <w:lang w:val="en-GB"/>
        </w:rPr>
        <w:t>(</w:t>
      </w:r>
      <w:r w:rsidRPr="00325A93">
        <w:rPr>
          <w:rFonts w:ascii="Arial" w:eastAsia="Arial" w:hAnsi="Arial" w:cs="Arial"/>
          <w:color w:val="211D1E"/>
          <w:lang w:val="en-GB"/>
        </w:rPr>
        <w:t>198</w:t>
      </w:r>
      <w:r w:rsidR="0048596E" w:rsidRPr="00325A93">
        <w:rPr>
          <w:rFonts w:ascii="Arial" w:eastAsia="Arial" w:hAnsi="Arial" w:cs="Arial"/>
          <w:color w:val="211D1E"/>
          <w:lang w:val="en-GB"/>
        </w:rPr>
        <w:t>)</w:t>
      </w:r>
      <w:r w:rsidRPr="00325A93">
        <w:rPr>
          <w:rFonts w:ascii="Arial" w:eastAsia="Arial" w:hAnsi="Arial" w:cs="Arial"/>
          <w:color w:val="211D1E"/>
          <w:lang w:val="en-GB"/>
        </w:rPr>
        <w:t>.</w:t>
      </w:r>
    </w:p>
    <w:p w14:paraId="1DB60881" w14:textId="77777777" w:rsidR="00BD6842" w:rsidRPr="002510B0" w:rsidRDefault="00BD6842" w:rsidP="00BD6842">
      <w:pPr>
        <w:keepNext/>
        <w:keepLines/>
        <w:numPr>
          <w:ilvl w:val="1"/>
          <w:numId w:val="22"/>
        </w:numPr>
        <w:spacing w:before="240" w:after="120"/>
        <w:outlineLvl w:val="1"/>
        <w:rPr>
          <w:rFonts w:ascii="Arial" w:eastAsia="Times New Roman" w:hAnsi="Arial" w:cs="Times New Roman"/>
          <w:b/>
          <w:bCs/>
          <w:color w:val="000000"/>
          <w:sz w:val="28"/>
          <w:szCs w:val="26"/>
          <w:lang w:val="fr-FR"/>
        </w:rPr>
      </w:pPr>
      <w:bookmarkStart w:id="82" w:name="_Toc36816360"/>
      <w:bookmarkStart w:id="83" w:name="_Toc36030366"/>
      <w:bookmarkStart w:id="84" w:name="_Toc38464076"/>
      <w:bookmarkStart w:id="85" w:name="_Toc24096924"/>
      <w:bookmarkStart w:id="86" w:name="_Toc31190828"/>
      <w:bookmarkStart w:id="87" w:name="_Toc24112036"/>
      <w:r w:rsidRPr="002510B0">
        <w:rPr>
          <w:rFonts w:ascii="Arial" w:eastAsia="Times New Roman" w:hAnsi="Arial" w:cs="Times New Roman"/>
          <w:b/>
          <w:bCs/>
          <w:color w:val="000000"/>
          <w:sz w:val="28"/>
          <w:szCs w:val="26"/>
          <w:lang w:val="fr-FR"/>
        </w:rPr>
        <w:t>Guidelines on Article 76 Par 1 Point A)</w:t>
      </w:r>
      <w:bookmarkEnd w:id="82"/>
      <w:bookmarkEnd w:id="83"/>
      <w:bookmarkEnd w:id="84"/>
    </w:p>
    <w:p w14:paraId="6B710611" w14:textId="77777777" w:rsidR="00020ADC" w:rsidRPr="00565BB9" w:rsidRDefault="00020ADC" w:rsidP="00020ADC">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bookmarkStart w:id="88" w:name="_Toc36816367"/>
      <w:bookmarkStart w:id="89" w:name="_Toc36030373"/>
      <w:r w:rsidRPr="00565BB9">
        <w:rPr>
          <w:rFonts w:ascii="Arial" w:eastAsia="Arial" w:hAnsi="Arial" w:cs="Times New Roman"/>
          <w:b/>
          <w:lang w:val="en-IE"/>
        </w:rPr>
        <w:t xml:space="preserve">Article 76, Paragraph 1 </w:t>
      </w:r>
    </w:p>
    <w:p w14:paraId="6A02A5C5" w14:textId="77777777" w:rsidR="00020ADC" w:rsidRPr="00565BB9" w:rsidRDefault="00020ADC" w:rsidP="00020ADC">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b/>
          <w:lang w:val="en-IE"/>
        </w:rPr>
      </w:pPr>
      <w:r w:rsidRPr="00565BB9">
        <w:rPr>
          <w:rFonts w:ascii="Arial" w:eastAsia="Arial" w:hAnsi="Arial" w:cs="Times New Roman"/>
          <w:lang w:val="en-IE"/>
        </w:rPr>
        <w:t>“</w:t>
      </w:r>
      <w:r w:rsidRPr="00565BB9">
        <w:rPr>
          <w:rFonts w:ascii="Arial" w:eastAsia="Arial" w:hAnsi="Arial" w:cs="Times New Roman"/>
          <w:i/>
          <w:lang w:val="en-IE"/>
        </w:rPr>
        <w:t>When the national regulatory authority assesses those commitments, it shall determine, in particular, whether the offer to co-invest complies with all of the following conditions</w:t>
      </w:r>
      <w:r w:rsidRPr="00565BB9">
        <w:rPr>
          <w:rFonts w:ascii="Arial" w:eastAsia="Arial" w:hAnsi="Arial" w:cs="Times New Roman"/>
          <w:lang w:val="en-IE"/>
        </w:rPr>
        <w:t>”:</w:t>
      </w:r>
    </w:p>
    <w:p w14:paraId="029E707B" w14:textId="77777777" w:rsidR="00020ADC" w:rsidRPr="00565BB9" w:rsidRDefault="00020ADC" w:rsidP="00020ADC">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b/>
          <w:lang w:val="en-IE"/>
        </w:rPr>
        <w:t>Point a)</w:t>
      </w:r>
    </w:p>
    <w:p w14:paraId="134DC01B" w14:textId="77777777" w:rsidR="00020ADC" w:rsidRPr="00565BB9" w:rsidRDefault="00020ADC" w:rsidP="00020ADC">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i/>
          <w:lang w:val="en-IE"/>
        </w:rPr>
        <w:t>“it is open at any moment during the lifetime of the network to any provider of electronic communications networks or services</w:t>
      </w:r>
      <w:r w:rsidRPr="00565BB9">
        <w:rPr>
          <w:rFonts w:ascii="Arial" w:eastAsia="Arial" w:hAnsi="Arial" w:cs="Times New Roman"/>
          <w:lang w:val="en-IE"/>
        </w:rPr>
        <w:t>”</w:t>
      </w:r>
    </w:p>
    <w:p w14:paraId="28CF7FBD" w14:textId="77777777" w:rsidR="00020ADC" w:rsidRPr="00CD7C49" w:rsidRDefault="00020ADC" w:rsidP="002510B0">
      <w:pPr>
        <w:keepNext/>
        <w:keepLines/>
        <w:numPr>
          <w:ilvl w:val="2"/>
          <w:numId w:val="22"/>
        </w:numPr>
        <w:spacing w:before="40" w:after="120"/>
        <w:outlineLvl w:val="2"/>
        <w:rPr>
          <w:rFonts w:eastAsia="Arial"/>
        </w:rPr>
      </w:pPr>
      <w:bookmarkStart w:id="90" w:name="_Toc31190822"/>
      <w:bookmarkStart w:id="91" w:name="_Toc24112034"/>
      <w:bookmarkStart w:id="92" w:name="_Toc36816361"/>
      <w:bookmarkStart w:id="93" w:name="_Toc36030367"/>
      <w:bookmarkStart w:id="94" w:name="_Toc38464077"/>
      <w:r w:rsidRPr="00CD7C49">
        <w:rPr>
          <w:rFonts w:ascii="Arial" w:eastAsia="Arial" w:hAnsi="Arial" w:cs="Times New Roman"/>
          <w:b/>
          <w:bCs/>
          <w:color w:val="000000"/>
          <w:sz w:val="24"/>
          <w:lang w:val="en-GB"/>
        </w:rPr>
        <w:t>Open offer</w:t>
      </w:r>
      <w:bookmarkEnd w:id="90"/>
      <w:bookmarkEnd w:id="91"/>
      <w:bookmarkEnd w:id="92"/>
      <w:bookmarkEnd w:id="93"/>
      <w:bookmarkEnd w:id="94"/>
    </w:p>
    <w:p w14:paraId="3B643B6B" w14:textId="39A30DF4" w:rsidR="00020ADC" w:rsidRDefault="00020ADC" w:rsidP="0027611B">
      <w:pPr>
        <w:pStyle w:val="ListParagraph"/>
        <w:numPr>
          <w:ilvl w:val="0"/>
          <w:numId w:val="47"/>
        </w:numPr>
        <w:spacing w:after="60"/>
        <w:contextualSpacing w:val="0"/>
        <w:rPr>
          <w:rFonts w:ascii="Arial" w:eastAsia="Arial" w:hAnsi="Arial" w:cs="Arial"/>
          <w:lang w:val="en-IE"/>
        </w:rPr>
      </w:pPr>
      <w:r w:rsidRPr="000E72D9">
        <w:rPr>
          <w:rFonts w:ascii="Arial" w:eastAsia="Arial" w:hAnsi="Arial" w:cs="Arial"/>
          <w:lang w:val="en-IE"/>
        </w:rPr>
        <w:t>BEREC understands that the requirement for an open offer, in th</w:t>
      </w:r>
      <w:r>
        <w:rPr>
          <w:rFonts w:ascii="Arial" w:eastAsia="Arial" w:hAnsi="Arial" w:cs="Arial"/>
          <w:lang w:val="en-IE"/>
        </w:rPr>
        <w:t>e</w:t>
      </w:r>
      <w:r w:rsidRPr="000E72D9">
        <w:rPr>
          <w:rFonts w:ascii="Arial" w:eastAsia="Arial" w:hAnsi="Arial" w:cs="Arial"/>
          <w:lang w:val="en-IE"/>
        </w:rPr>
        <w:t xml:space="preserve"> context</w:t>
      </w:r>
      <w:r w:rsidR="00934549">
        <w:rPr>
          <w:rFonts w:ascii="Arial" w:eastAsia="Arial" w:hAnsi="Arial" w:cs="Arial"/>
          <w:lang w:val="en-IE"/>
        </w:rPr>
        <w:t xml:space="preserve"> of Article 76 </w:t>
      </w:r>
      <w:r>
        <w:rPr>
          <w:rFonts w:ascii="Arial" w:eastAsia="Arial" w:hAnsi="Arial" w:cs="Arial"/>
          <w:lang w:val="en-IE"/>
        </w:rPr>
        <w:t>(1)</w:t>
      </w:r>
      <w:r w:rsidRPr="000E72D9">
        <w:rPr>
          <w:rFonts w:ascii="Arial" w:eastAsia="Arial" w:hAnsi="Arial" w:cs="Arial"/>
          <w:lang w:val="en-IE"/>
        </w:rPr>
        <w:t xml:space="preserve">, refers to the </w:t>
      </w:r>
      <w:r w:rsidRPr="00C4167D">
        <w:rPr>
          <w:rFonts w:ascii="Arial" w:eastAsia="Arial" w:hAnsi="Arial" w:cs="Arial"/>
          <w:lang w:val="en-IE"/>
        </w:rPr>
        <w:t>terms offered to potential co-investors to enter the agreement.</w:t>
      </w:r>
    </w:p>
    <w:p w14:paraId="0F4855D6" w14:textId="3E42884C" w:rsidR="00020ADC" w:rsidRPr="00EA4EDB" w:rsidRDefault="00020ADC" w:rsidP="0027611B">
      <w:pPr>
        <w:pStyle w:val="ListParagraph"/>
        <w:numPr>
          <w:ilvl w:val="0"/>
          <w:numId w:val="47"/>
        </w:numPr>
        <w:spacing w:after="60"/>
        <w:contextualSpacing w:val="0"/>
        <w:rPr>
          <w:rFonts w:ascii="Arial" w:eastAsia="Arial" w:hAnsi="Arial" w:cs="Arial"/>
          <w:lang w:val="en-IE"/>
        </w:rPr>
      </w:pPr>
      <w:r w:rsidRPr="00EA4EDB">
        <w:rPr>
          <w:rFonts w:ascii="Arial" w:eastAsia="Arial" w:hAnsi="Arial" w:cs="Arial"/>
          <w:lang w:val="en-IE"/>
        </w:rPr>
        <w:t>First and foremost, the offer has to be open during the lifetime of the network. That means that there needs to be a possibility for potential and different types of electronic communications providers to join the co-investment at any moment during the lifetime of the network</w:t>
      </w:r>
      <w:r w:rsidR="00872424">
        <w:rPr>
          <w:rFonts w:ascii="Arial" w:eastAsia="Arial" w:hAnsi="Arial" w:cs="Arial"/>
          <w:lang w:val="en-IE"/>
        </w:rPr>
        <w:t xml:space="preserve">, i.e. </w:t>
      </w:r>
      <w:r w:rsidRPr="00EA4EDB">
        <w:rPr>
          <w:rFonts w:ascii="Arial" w:eastAsia="Arial" w:hAnsi="Arial" w:cs="Arial"/>
          <w:lang w:val="en-IE"/>
        </w:rPr>
        <w:t>with</w:t>
      </w:r>
      <w:r w:rsidRPr="00EA4EDB" w:rsidDel="001C1D2A">
        <w:rPr>
          <w:rFonts w:ascii="Arial" w:eastAsia="Arial" w:hAnsi="Arial" w:cs="Arial"/>
          <w:lang w:val="en-IE"/>
        </w:rPr>
        <w:t xml:space="preserve"> </w:t>
      </w:r>
      <w:r w:rsidRPr="00EA4EDB">
        <w:rPr>
          <w:rFonts w:ascii="Arial" w:eastAsia="Arial" w:hAnsi="Arial" w:cs="Arial"/>
          <w:lang w:val="en-IE"/>
        </w:rPr>
        <w:t xml:space="preserve">no </w:t>
      </w:r>
      <w:r w:rsidR="00872424">
        <w:rPr>
          <w:rFonts w:ascii="Arial" w:eastAsia="Arial" w:hAnsi="Arial" w:cs="Arial"/>
          <w:lang w:val="en-IE"/>
        </w:rPr>
        <w:t>cut-off date</w:t>
      </w:r>
      <w:r w:rsidRPr="00EA4EDB">
        <w:rPr>
          <w:rFonts w:ascii="Arial" w:eastAsia="Arial" w:hAnsi="Arial" w:cs="Arial"/>
          <w:lang w:val="en-IE"/>
        </w:rPr>
        <w:t xml:space="preserve"> set </w:t>
      </w:r>
      <w:r w:rsidR="00872424" w:rsidRPr="00EA4EDB">
        <w:rPr>
          <w:rFonts w:ascii="Arial" w:eastAsia="Arial" w:hAnsi="Arial" w:cs="Arial"/>
          <w:lang w:val="en-IE"/>
        </w:rPr>
        <w:t xml:space="preserve">by the SMP operator </w:t>
      </w:r>
      <w:r w:rsidRPr="00EA4EDB">
        <w:rPr>
          <w:rFonts w:ascii="Arial" w:eastAsia="Arial" w:hAnsi="Arial" w:cs="Arial"/>
          <w:lang w:val="en-IE"/>
        </w:rPr>
        <w:t>for the co-investment.</w:t>
      </w:r>
    </w:p>
    <w:p w14:paraId="65119DAD" w14:textId="427335E8" w:rsidR="00020ADC" w:rsidRDefault="00020ADC" w:rsidP="0027611B">
      <w:pPr>
        <w:pStyle w:val="ListParagraph"/>
        <w:numPr>
          <w:ilvl w:val="0"/>
          <w:numId w:val="47"/>
        </w:numPr>
        <w:spacing w:after="60"/>
        <w:contextualSpacing w:val="0"/>
        <w:rPr>
          <w:rFonts w:ascii="Arial" w:eastAsia="Arial" w:hAnsi="Arial" w:cs="Arial"/>
          <w:lang w:val="en-IE"/>
        </w:rPr>
      </w:pPr>
      <w:r w:rsidRPr="006853FD">
        <w:rPr>
          <w:rFonts w:ascii="Arial" w:eastAsia="Arial" w:hAnsi="Arial" w:cs="Arial"/>
          <w:lang w:val="en-IE"/>
        </w:rPr>
        <w:t xml:space="preserve">Thus, in order to assess whether an offer is open during the lifetime of a network, an NRA should check that </w:t>
      </w:r>
      <w:r w:rsidR="009269EC">
        <w:rPr>
          <w:rFonts w:ascii="Arial" w:eastAsia="Arial" w:hAnsi="Arial" w:cs="Arial"/>
          <w:lang w:val="en-IE"/>
        </w:rPr>
        <w:t xml:space="preserve">no </w:t>
      </w:r>
      <w:r w:rsidR="00872424">
        <w:rPr>
          <w:rFonts w:ascii="Arial" w:eastAsia="Arial" w:hAnsi="Arial" w:cs="Arial"/>
          <w:lang w:val="en-IE"/>
        </w:rPr>
        <w:t>cut-off date</w:t>
      </w:r>
      <w:r w:rsidR="00872424" w:rsidRPr="00EA4EDB">
        <w:rPr>
          <w:rFonts w:ascii="Arial" w:eastAsia="Arial" w:hAnsi="Arial" w:cs="Arial"/>
          <w:lang w:val="en-IE"/>
        </w:rPr>
        <w:t xml:space="preserve"> </w:t>
      </w:r>
      <w:r w:rsidRPr="006853FD">
        <w:rPr>
          <w:rFonts w:ascii="Arial" w:eastAsia="Arial" w:hAnsi="Arial" w:cs="Arial"/>
          <w:lang w:val="en-IE"/>
        </w:rPr>
        <w:t xml:space="preserve">during the lifetime is set by the SMP operator, in terms of validity of the offer. </w:t>
      </w:r>
    </w:p>
    <w:p w14:paraId="6FDAD2C2" w14:textId="1F9A4B15" w:rsidR="00020ADC" w:rsidRPr="00235093" w:rsidRDefault="00020ADC" w:rsidP="0027611B">
      <w:pPr>
        <w:pStyle w:val="ListParagraph"/>
        <w:numPr>
          <w:ilvl w:val="0"/>
          <w:numId w:val="47"/>
        </w:numPr>
        <w:spacing w:after="60"/>
        <w:contextualSpacing w:val="0"/>
      </w:pPr>
      <w:r w:rsidRPr="00EA4EDB">
        <w:rPr>
          <w:rFonts w:ascii="Arial" w:eastAsia="Arial" w:hAnsi="Arial" w:cs="Arial"/>
          <w:lang w:val="en-IE"/>
        </w:rPr>
        <w:t xml:space="preserve">Furthermore, </w:t>
      </w:r>
      <w:r>
        <w:rPr>
          <w:rFonts w:ascii="Arial" w:eastAsia="Arial" w:hAnsi="Arial" w:cs="Arial"/>
          <w:lang w:val="en-IE"/>
        </w:rPr>
        <w:t>t</w:t>
      </w:r>
      <w:r w:rsidRPr="00D94D4A">
        <w:rPr>
          <w:rFonts w:ascii="Arial" w:eastAsia="Arial" w:hAnsi="Arial" w:cs="Arial"/>
          <w:lang w:val="en-IE"/>
        </w:rPr>
        <w:t>he offer shall not be exclusive to particular</w:t>
      </w:r>
      <w:r>
        <w:rPr>
          <w:rFonts w:ascii="Arial" w:eastAsia="Arial" w:hAnsi="Arial" w:cs="Arial"/>
          <w:lang w:val="en-IE"/>
        </w:rPr>
        <w:t xml:space="preserve"> </w:t>
      </w:r>
      <w:r w:rsidRPr="0034735C">
        <w:rPr>
          <w:rFonts w:ascii="Arial" w:eastAsia="Arial" w:hAnsi="Arial" w:cs="Arial"/>
          <w:lang w:val="en-IE"/>
        </w:rPr>
        <w:t>electronic communications networks and/or services</w:t>
      </w:r>
      <w:r w:rsidRPr="00D94D4A">
        <w:rPr>
          <w:rFonts w:ascii="Arial" w:eastAsia="Arial" w:hAnsi="Arial" w:cs="Arial"/>
          <w:lang w:val="en-IE"/>
        </w:rPr>
        <w:t xml:space="preserve"> </w:t>
      </w:r>
      <w:r>
        <w:rPr>
          <w:rFonts w:ascii="Arial" w:eastAsia="Arial" w:hAnsi="Arial" w:cs="Arial"/>
          <w:lang w:val="en-IE"/>
        </w:rPr>
        <w:t>(</w:t>
      </w:r>
      <w:r w:rsidR="003914A6">
        <w:rPr>
          <w:rFonts w:ascii="Arial" w:eastAsia="Arial" w:hAnsi="Arial" w:cs="Arial"/>
          <w:lang w:val="en-IE"/>
        </w:rPr>
        <w:t>ECN/</w:t>
      </w:r>
      <w:r>
        <w:rPr>
          <w:rFonts w:ascii="Arial" w:eastAsia="Arial" w:hAnsi="Arial" w:cs="Arial"/>
          <w:lang w:val="en-IE"/>
        </w:rPr>
        <w:t>ECS) providers</w:t>
      </w:r>
      <w:r w:rsidRPr="0034735C">
        <w:rPr>
          <w:rFonts w:ascii="Arial" w:eastAsia="Arial" w:hAnsi="Arial" w:cs="Arial"/>
          <w:lang w:val="en-IE"/>
        </w:rPr>
        <w:t xml:space="preserve"> </w:t>
      </w:r>
      <w:r w:rsidRPr="00D94D4A">
        <w:rPr>
          <w:rFonts w:ascii="Arial" w:eastAsia="Arial" w:hAnsi="Arial" w:cs="Arial"/>
          <w:lang w:val="en-IE"/>
        </w:rPr>
        <w:t xml:space="preserve">or types of </w:t>
      </w:r>
      <w:r w:rsidR="003914A6">
        <w:rPr>
          <w:rFonts w:ascii="Arial" w:eastAsia="Arial" w:hAnsi="Arial" w:cs="Arial"/>
          <w:lang w:val="en-IE"/>
        </w:rPr>
        <w:t>ECN/</w:t>
      </w:r>
      <w:r>
        <w:rPr>
          <w:rFonts w:ascii="Arial" w:eastAsia="Arial" w:hAnsi="Arial" w:cs="Arial"/>
          <w:lang w:val="en-IE"/>
        </w:rPr>
        <w:t>ECS providers</w:t>
      </w:r>
      <w:r>
        <w:rPr>
          <w:rStyle w:val="FootnoteReference"/>
          <w:rFonts w:ascii="Arial" w:eastAsia="Arial" w:hAnsi="Arial" w:cs="Arial"/>
          <w:lang w:val="en-IE"/>
        </w:rPr>
        <w:footnoteReference w:id="18"/>
      </w:r>
      <w:r w:rsidRPr="00D94D4A">
        <w:rPr>
          <w:rFonts w:ascii="Arial" w:eastAsia="Arial" w:hAnsi="Arial" w:cs="Arial"/>
          <w:lang w:val="en-IE"/>
        </w:rPr>
        <w:t>. This means</w:t>
      </w:r>
      <w:r>
        <w:rPr>
          <w:rFonts w:ascii="Arial" w:eastAsia="Arial" w:hAnsi="Arial" w:cs="Arial"/>
          <w:lang w:val="en-IE"/>
        </w:rPr>
        <w:t xml:space="preserve"> </w:t>
      </w:r>
      <w:r w:rsidRPr="002510B0">
        <w:rPr>
          <w:rFonts w:ascii="Arial" w:eastAsia="Arial" w:hAnsi="Arial" w:cs="Arial"/>
          <w:lang w:val="en-IE"/>
        </w:rPr>
        <w:t>that</w:t>
      </w:r>
      <w:r w:rsidRPr="00EA4EDB">
        <w:rPr>
          <w:rFonts w:ascii="Arial" w:eastAsia="Arial" w:hAnsi="Arial" w:cs="Arial"/>
          <w:lang w:val="en-IE"/>
        </w:rPr>
        <w:t xml:space="preserve"> the SMP operator must credibly commit to give potential entrants effective access to the offer to co-invest and thus also to the network in question under clear conditions, on a fair, non-discriminatory and transparent basis</w:t>
      </w:r>
      <w:r>
        <w:rPr>
          <w:rFonts w:ascii="Arial" w:eastAsia="Arial" w:hAnsi="Arial" w:cs="Arial"/>
          <w:lang w:val="en-IE"/>
        </w:rPr>
        <w:t xml:space="preserve">. </w:t>
      </w:r>
      <w:r w:rsidRPr="00661EE8">
        <w:rPr>
          <w:rFonts w:ascii="Arial" w:eastAsia="Arial" w:hAnsi="Arial" w:cs="Arial"/>
          <w:lang w:val="en-IE"/>
        </w:rPr>
        <w:t xml:space="preserve">These conditions </w:t>
      </w:r>
      <w:r>
        <w:rPr>
          <w:rFonts w:ascii="Arial" w:eastAsia="Arial" w:hAnsi="Arial" w:cs="Arial"/>
          <w:lang w:val="en-IE"/>
        </w:rPr>
        <w:t xml:space="preserve">are addressed in more detail </w:t>
      </w:r>
      <w:r w:rsidRPr="00661EE8">
        <w:rPr>
          <w:rFonts w:ascii="Arial" w:eastAsia="Arial" w:hAnsi="Arial" w:cs="Arial"/>
          <w:lang w:val="en-IE"/>
        </w:rPr>
        <w:t xml:space="preserve">in the </w:t>
      </w:r>
      <w:r>
        <w:rPr>
          <w:rFonts w:ascii="Arial" w:eastAsia="Arial" w:hAnsi="Arial" w:cs="Arial"/>
          <w:lang w:val="en-IE"/>
        </w:rPr>
        <w:t xml:space="preserve">following </w:t>
      </w:r>
      <w:r w:rsidRPr="00661EE8">
        <w:rPr>
          <w:rFonts w:ascii="Arial" w:eastAsia="Arial" w:hAnsi="Arial" w:cs="Arial"/>
          <w:lang w:val="en-IE"/>
        </w:rPr>
        <w:t>sections</w:t>
      </w:r>
      <w:r>
        <w:rPr>
          <w:rFonts w:ascii="Arial" w:eastAsia="Arial" w:hAnsi="Arial" w:cs="Arial"/>
          <w:lang w:val="en-IE"/>
        </w:rPr>
        <w:t>.</w:t>
      </w:r>
    </w:p>
    <w:p w14:paraId="38D43F4F" w14:textId="7C56BD78" w:rsidR="00020ADC" w:rsidRDefault="00020ADC" w:rsidP="0027611B">
      <w:pPr>
        <w:pStyle w:val="ListParagraph"/>
        <w:numPr>
          <w:ilvl w:val="0"/>
          <w:numId w:val="47"/>
        </w:numPr>
        <w:spacing w:after="60"/>
        <w:contextualSpacing w:val="0"/>
        <w:rPr>
          <w:rFonts w:ascii="Arial" w:eastAsia="Arial" w:hAnsi="Arial" w:cs="Arial"/>
          <w:lang w:val="en-IE"/>
        </w:rPr>
      </w:pPr>
      <w:r>
        <w:rPr>
          <w:rFonts w:ascii="Arial" w:eastAsia="Arial" w:hAnsi="Arial" w:cs="Arial"/>
          <w:lang w:val="en-IE"/>
        </w:rPr>
        <w:lastRenderedPageBreak/>
        <w:t>T</w:t>
      </w:r>
      <w:r w:rsidRPr="00235093">
        <w:rPr>
          <w:rFonts w:ascii="Arial" w:eastAsia="Arial" w:hAnsi="Arial" w:cs="Arial"/>
          <w:lang w:val="en-IE"/>
        </w:rPr>
        <w:t>he offer should also have sufficiently clear and precise terms and conditions and be possible to join under clear and specific rules</w:t>
      </w:r>
      <w:r>
        <w:rPr>
          <w:rFonts w:ascii="Arial" w:eastAsia="Arial" w:hAnsi="Arial" w:cs="Arial"/>
          <w:lang w:val="en-IE"/>
        </w:rPr>
        <w:t>.</w:t>
      </w:r>
    </w:p>
    <w:p w14:paraId="418D83A7" w14:textId="66DA6495" w:rsidR="00020ADC" w:rsidRDefault="00020ADC" w:rsidP="0027611B">
      <w:pPr>
        <w:pStyle w:val="ListParagraph"/>
        <w:numPr>
          <w:ilvl w:val="0"/>
          <w:numId w:val="47"/>
        </w:numPr>
        <w:spacing w:after="60"/>
        <w:contextualSpacing w:val="0"/>
        <w:rPr>
          <w:rFonts w:ascii="Arial" w:eastAsia="Arial" w:hAnsi="Arial" w:cs="Arial"/>
          <w:lang w:val="en-IE"/>
        </w:rPr>
      </w:pPr>
      <w:r>
        <w:rPr>
          <w:rFonts w:ascii="Arial" w:eastAsia="Arial" w:hAnsi="Arial" w:cs="Arial"/>
          <w:lang w:val="en-IE"/>
        </w:rPr>
        <w:t>Generally, t</w:t>
      </w:r>
      <w:r w:rsidRPr="00661EE8">
        <w:rPr>
          <w:rFonts w:ascii="Arial" w:eastAsia="Arial" w:hAnsi="Arial" w:cs="Arial"/>
          <w:lang w:val="en-IE"/>
        </w:rPr>
        <w:t xml:space="preserve">wo different </w:t>
      </w:r>
      <w:r>
        <w:rPr>
          <w:rFonts w:ascii="Arial" w:eastAsia="Arial" w:hAnsi="Arial" w:cs="Arial"/>
          <w:lang w:val="en-IE"/>
        </w:rPr>
        <w:t xml:space="preserve">access </w:t>
      </w:r>
      <w:r w:rsidRPr="00661EE8">
        <w:rPr>
          <w:rFonts w:ascii="Arial" w:eastAsia="Arial" w:hAnsi="Arial" w:cs="Arial"/>
          <w:lang w:val="en-IE"/>
        </w:rPr>
        <w:t xml:space="preserve">situations </w:t>
      </w:r>
      <w:r>
        <w:rPr>
          <w:rFonts w:ascii="Arial" w:eastAsia="Arial" w:hAnsi="Arial" w:cs="Arial"/>
          <w:lang w:val="en-IE"/>
        </w:rPr>
        <w:t>should be distinguished when assessing the openness of the co-investment offer</w:t>
      </w:r>
      <w:r w:rsidRPr="00661EE8">
        <w:rPr>
          <w:rFonts w:ascii="Arial" w:eastAsia="Arial" w:hAnsi="Arial" w:cs="Arial"/>
          <w:lang w:val="en-IE"/>
        </w:rPr>
        <w:t xml:space="preserve">: 1) access </w:t>
      </w:r>
      <w:r>
        <w:rPr>
          <w:rFonts w:ascii="Arial" w:eastAsia="Arial" w:hAnsi="Arial" w:cs="Arial"/>
          <w:lang w:val="en-IE"/>
        </w:rPr>
        <w:t xml:space="preserve">by entering the co-investment agreement </w:t>
      </w:r>
      <w:r w:rsidRPr="00661EE8">
        <w:rPr>
          <w:rFonts w:ascii="Arial" w:eastAsia="Arial" w:hAnsi="Arial" w:cs="Arial"/>
          <w:lang w:val="en-IE"/>
        </w:rPr>
        <w:t xml:space="preserve">at the beginning of the offer; and 2) access </w:t>
      </w:r>
      <w:r>
        <w:rPr>
          <w:rFonts w:ascii="Arial" w:eastAsia="Arial" w:hAnsi="Arial" w:cs="Arial"/>
          <w:lang w:val="en-IE"/>
        </w:rPr>
        <w:t>by</w:t>
      </w:r>
      <w:r w:rsidRPr="00661EE8">
        <w:rPr>
          <w:rFonts w:ascii="Arial" w:eastAsia="Arial" w:hAnsi="Arial" w:cs="Arial"/>
          <w:lang w:val="en-IE"/>
        </w:rPr>
        <w:t xml:space="preserve"> </w:t>
      </w:r>
      <w:r>
        <w:rPr>
          <w:rFonts w:ascii="Arial" w:eastAsia="Arial" w:hAnsi="Arial" w:cs="Arial"/>
          <w:lang w:val="en-IE"/>
        </w:rPr>
        <w:t>entering</w:t>
      </w:r>
      <w:r w:rsidRPr="00661EE8">
        <w:rPr>
          <w:rFonts w:ascii="Arial" w:eastAsia="Arial" w:hAnsi="Arial" w:cs="Arial"/>
          <w:lang w:val="en-IE"/>
        </w:rPr>
        <w:t xml:space="preserve"> the co-investment agreement</w:t>
      </w:r>
      <w:r>
        <w:rPr>
          <w:rFonts w:ascii="Arial" w:eastAsia="Arial" w:hAnsi="Arial" w:cs="Arial"/>
          <w:lang w:val="en-IE"/>
        </w:rPr>
        <w:t xml:space="preserve"> at a later stage</w:t>
      </w:r>
      <w:r w:rsidRPr="00661EE8">
        <w:rPr>
          <w:rFonts w:ascii="Arial" w:eastAsia="Arial" w:hAnsi="Arial" w:cs="Arial"/>
          <w:lang w:val="en-IE"/>
        </w:rPr>
        <w:t>.</w:t>
      </w:r>
    </w:p>
    <w:p w14:paraId="6D008238" w14:textId="2D238847" w:rsidR="00020ADC" w:rsidRPr="00513F2C" w:rsidRDefault="00020ADC" w:rsidP="0027611B">
      <w:pPr>
        <w:pStyle w:val="ListParagraph"/>
        <w:numPr>
          <w:ilvl w:val="0"/>
          <w:numId w:val="47"/>
        </w:numPr>
        <w:spacing w:after="60"/>
        <w:contextualSpacing w:val="0"/>
        <w:rPr>
          <w:rFonts w:ascii="Arial" w:eastAsia="Arial" w:hAnsi="Arial" w:cs="Arial"/>
          <w:lang w:val="en-IE"/>
        </w:rPr>
      </w:pPr>
      <w:r>
        <w:rPr>
          <w:rFonts w:ascii="Arial" w:eastAsia="Arial" w:hAnsi="Arial" w:cs="Arial"/>
          <w:lang w:val="en-IE"/>
        </w:rPr>
        <w:t>It is important that the offer fulfils the aforementioned requirements in both situations.</w:t>
      </w:r>
    </w:p>
    <w:p w14:paraId="47909568" w14:textId="77777777" w:rsidR="00020ADC" w:rsidRDefault="00020ADC" w:rsidP="00B43874">
      <w:pPr>
        <w:pStyle w:val="ListParagraph"/>
        <w:numPr>
          <w:ilvl w:val="0"/>
          <w:numId w:val="47"/>
        </w:numPr>
        <w:rPr>
          <w:rFonts w:ascii="Arial" w:eastAsia="Arial" w:hAnsi="Arial" w:cs="Arial"/>
          <w:lang w:val="en-IE"/>
        </w:rPr>
      </w:pPr>
      <w:r w:rsidRPr="00AC49C6">
        <w:rPr>
          <w:rFonts w:ascii="Arial" w:eastAsia="Arial" w:hAnsi="Arial" w:cs="Arial"/>
          <w:lang w:val="en-IE"/>
        </w:rPr>
        <w:t xml:space="preserve">In the second case however, depending on the type of co-investment agreement, the implementation of safeguards to ensure the offer’s openness might differ when it comes to undertakings willing to join the co-investment at a later stage. Thus, </w:t>
      </w:r>
      <w:r w:rsidRPr="00513F2C">
        <w:rPr>
          <w:rFonts w:ascii="Arial" w:eastAsia="Arial" w:hAnsi="Arial" w:cs="Arial"/>
          <w:lang w:val="en-IE"/>
        </w:rPr>
        <w:t>any existing limitations of openness need to be considered in the context of joint-venture models, reciprocal access models, one-way access models and mixed-form models specifically. In the following, the requirements for the openness and limitations that might possibly exist are presented for the different co-investment types.</w:t>
      </w:r>
    </w:p>
    <w:p w14:paraId="10C08263" w14:textId="77777777" w:rsidR="00020ADC" w:rsidRPr="00CD7C49" w:rsidRDefault="00020ADC" w:rsidP="002510B0">
      <w:pPr>
        <w:keepNext/>
        <w:keepLines/>
        <w:numPr>
          <w:ilvl w:val="3"/>
          <w:numId w:val="22"/>
        </w:numPr>
        <w:spacing w:before="40" w:after="120"/>
        <w:outlineLvl w:val="2"/>
        <w:rPr>
          <w:rFonts w:eastAsia="Arial"/>
        </w:rPr>
      </w:pPr>
      <w:bookmarkStart w:id="95" w:name="_Toc31190823"/>
      <w:bookmarkStart w:id="96" w:name="_Toc36816362"/>
      <w:bookmarkStart w:id="97" w:name="_Toc36030368"/>
      <w:bookmarkStart w:id="98" w:name="_Ref38453523"/>
      <w:bookmarkStart w:id="99" w:name="_Toc38464078"/>
      <w:r w:rsidRPr="00CD7C49">
        <w:rPr>
          <w:rFonts w:ascii="Arial" w:eastAsia="Arial" w:hAnsi="Arial" w:cs="Times New Roman"/>
          <w:color w:val="000000"/>
          <w:sz w:val="24"/>
          <w:lang w:val="en-GB"/>
        </w:rPr>
        <w:t>Joint-venture models</w:t>
      </w:r>
      <w:bookmarkEnd w:id="95"/>
      <w:bookmarkEnd w:id="96"/>
      <w:bookmarkEnd w:id="97"/>
      <w:bookmarkEnd w:id="98"/>
      <w:bookmarkEnd w:id="99"/>
    </w:p>
    <w:p w14:paraId="4456CE01" w14:textId="77777777" w:rsidR="00020ADC" w:rsidRDefault="00020ADC" w:rsidP="0027611B">
      <w:pPr>
        <w:pStyle w:val="ListParagraph"/>
        <w:numPr>
          <w:ilvl w:val="0"/>
          <w:numId w:val="47"/>
        </w:numPr>
        <w:spacing w:after="60"/>
        <w:contextualSpacing w:val="0"/>
        <w:rPr>
          <w:rFonts w:ascii="Arial" w:eastAsia="Arial" w:hAnsi="Arial" w:cs="Arial"/>
          <w:lang w:val="en-IE"/>
        </w:rPr>
      </w:pPr>
      <w:r w:rsidRPr="00994521">
        <w:rPr>
          <w:rFonts w:ascii="Arial" w:eastAsia="Arial" w:hAnsi="Arial" w:cs="Arial"/>
          <w:lang w:val="en-IE"/>
        </w:rPr>
        <w:t>As a plausible scenario, two or more undertakings enter into arrangements for creating a joint</w:t>
      </w:r>
      <w:r>
        <w:rPr>
          <w:rFonts w:ascii="Arial" w:eastAsia="Arial" w:hAnsi="Arial" w:cs="Arial"/>
          <w:lang w:val="en-IE"/>
        </w:rPr>
        <w:t>-</w:t>
      </w:r>
      <w:r w:rsidRPr="00994521">
        <w:rPr>
          <w:rFonts w:ascii="Arial" w:eastAsia="Arial" w:hAnsi="Arial" w:cs="Arial"/>
          <w:lang w:val="en-IE"/>
        </w:rPr>
        <w:t>venture. In order to become part of the joint</w:t>
      </w:r>
      <w:r>
        <w:rPr>
          <w:rFonts w:ascii="Arial" w:eastAsia="Arial" w:hAnsi="Arial" w:cs="Arial"/>
          <w:lang w:val="en-IE"/>
        </w:rPr>
        <w:t>-</w:t>
      </w:r>
      <w:r w:rsidRPr="00994521">
        <w:rPr>
          <w:rFonts w:ascii="Arial" w:eastAsia="Arial" w:hAnsi="Arial" w:cs="Arial"/>
          <w:lang w:val="en-IE"/>
        </w:rPr>
        <w:t>venture and participate in the co-investment, undertakings acquire a stake in the joint-venture</w:t>
      </w:r>
      <w:r w:rsidRPr="00886774">
        <w:rPr>
          <w:vertAlign w:val="superscript"/>
          <w:lang w:val="en-IE"/>
        </w:rPr>
        <w:footnoteReference w:id="19"/>
      </w:r>
      <w:r>
        <w:rPr>
          <w:rFonts w:ascii="Arial" w:eastAsia="Arial" w:hAnsi="Arial" w:cs="Arial"/>
          <w:lang w:val="en-IE"/>
        </w:rPr>
        <w:t>.</w:t>
      </w:r>
    </w:p>
    <w:p w14:paraId="5129E57D" w14:textId="77777777" w:rsidR="00020ADC" w:rsidRDefault="00020ADC" w:rsidP="00B43874">
      <w:pPr>
        <w:pStyle w:val="ListParagraph"/>
        <w:numPr>
          <w:ilvl w:val="0"/>
          <w:numId w:val="47"/>
        </w:numPr>
        <w:rPr>
          <w:rFonts w:ascii="Arial" w:eastAsia="Arial" w:hAnsi="Arial" w:cs="Arial"/>
          <w:lang w:val="en-IE"/>
        </w:rPr>
      </w:pPr>
      <w:r w:rsidRPr="00235093">
        <w:rPr>
          <w:rFonts w:ascii="Arial" w:eastAsia="Arial" w:hAnsi="Arial" w:cs="Arial"/>
          <w:lang w:val="en-IE"/>
        </w:rPr>
        <w:t>At a later stage, however, joining the joint-venture or increasing the respective stake a co-investor already owns can potentially be complex</w:t>
      </w:r>
      <w:r w:rsidRPr="00886774">
        <w:rPr>
          <w:vertAlign w:val="superscript"/>
          <w:lang w:val="en-IE"/>
        </w:rPr>
        <w:footnoteReference w:id="20"/>
      </w:r>
      <w:r>
        <w:rPr>
          <w:rFonts w:ascii="Arial" w:eastAsia="Arial" w:hAnsi="Arial" w:cs="Arial"/>
          <w:lang w:val="en-IE"/>
        </w:rPr>
        <w:t>.</w:t>
      </w:r>
      <w:r w:rsidRPr="00235093">
        <w:rPr>
          <w:rFonts w:ascii="Arial" w:eastAsia="Arial" w:hAnsi="Arial" w:cs="Arial"/>
          <w:lang w:val="en-IE"/>
        </w:rPr>
        <w:t xml:space="preserve"> Because of the extensive negotiations that are needed between potential co-investors before the conclusion of a joint-venture contract, it might be reasonable for the co-investment offer to include specific cut-off dates after which a late entry into the joint-venture itself does not need to be guaranteed. However, in such a case, it is necessary to put an additional mechanism in place to ensure the effective openness of the co-investment offer, e.g. by combining the joint-venture model with a one-way access model.</w:t>
      </w:r>
    </w:p>
    <w:p w14:paraId="4F55C02E" w14:textId="77777777" w:rsidR="00020ADC" w:rsidRPr="00CD7C49" w:rsidRDefault="00020ADC" w:rsidP="002510B0">
      <w:pPr>
        <w:keepNext/>
        <w:keepLines/>
        <w:numPr>
          <w:ilvl w:val="3"/>
          <w:numId w:val="22"/>
        </w:numPr>
        <w:spacing w:before="40" w:after="120"/>
        <w:outlineLvl w:val="2"/>
        <w:rPr>
          <w:rFonts w:eastAsia="Arial"/>
        </w:rPr>
      </w:pPr>
      <w:bookmarkStart w:id="100" w:name="_Toc31190824"/>
      <w:bookmarkStart w:id="101" w:name="_Toc36816363"/>
      <w:bookmarkStart w:id="102" w:name="_Toc36030369"/>
      <w:bookmarkStart w:id="103" w:name="_Ref38453577"/>
      <w:bookmarkStart w:id="104" w:name="_Toc38464079"/>
      <w:r w:rsidRPr="00CD7C49">
        <w:rPr>
          <w:rFonts w:ascii="Arial" w:eastAsia="Arial" w:hAnsi="Arial" w:cs="Times New Roman"/>
          <w:color w:val="000000"/>
          <w:sz w:val="24"/>
          <w:lang w:val="en-GB"/>
        </w:rPr>
        <w:t>Reciprocal access models</w:t>
      </w:r>
      <w:bookmarkEnd w:id="100"/>
      <w:bookmarkEnd w:id="101"/>
      <w:bookmarkEnd w:id="102"/>
      <w:bookmarkEnd w:id="103"/>
      <w:bookmarkEnd w:id="104"/>
    </w:p>
    <w:p w14:paraId="27BA8166" w14:textId="77777777" w:rsidR="00020ADC" w:rsidRPr="00994521" w:rsidRDefault="00020ADC" w:rsidP="0027611B">
      <w:pPr>
        <w:pStyle w:val="ListParagraph"/>
        <w:numPr>
          <w:ilvl w:val="0"/>
          <w:numId w:val="47"/>
        </w:numPr>
        <w:spacing w:after="60"/>
        <w:contextualSpacing w:val="0"/>
        <w:rPr>
          <w:rFonts w:ascii="Arial" w:eastAsia="Arial" w:hAnsi="Arial" w:cs="Arial"/>
          <w:lang w:val="en-IE"/>
        </w:rPr>
      </w:pPr>
      <w:r w:rsidRPr="00994521">
        <w:rPr>
          <w:rFonts w:ascii="Arial" w:eastAsia="Arial" w:hAnsi="Arial" w:cs="Arial"/>
          <w:lang w:val="en-IE"/>
        </w:rPr>
        <w:t xml:space="preserve">In a reciprocal access model, each co-investor deploys an independent network in an exclusive region and grants all other co-investors access to </w:t>
      </w:r>
      <w:r>
        <w:rPr>
          <w:rFonts w:ascii="Arial" w:eastAsia="Arial" w:hAnsi="Arial" w:cs="Arial"/>
          <w:lang w:val="en-IE"/>
        </w:rPr>
        <w:t>its</w:t>
      </w:r>
      <w:r w:rsidRPr="00994521">
        <w:rPr>
          <w:rFonts w:ascii="Arial" w:eastAsia="Arial" w:hAnsi="Arial" w:cs="Arial"/>
          <w:lang w:val="en-IE"/>
        </w:rPr>
        <w:t xml:space="preserve"> network. </w:t>
      </w:r>
    </w:p>
    <w:p w14:paraId="3902F3FB" w14:textId="77777777" w:rsidR="00020ADC" w:rsidRDefault="00020ADC" w:rsidP="00B43874">
      <w:pPr>
        <w:pStyle w:val="ListParagraph"/>
        <w:numPr>
          <w:ilvl w:val="0"/>
          <w:numId w:val="47"/>
        </w:numPr>
        <w:rPr>
          <w:rFonts w:ascii="Arial" w:eastAsia="Arial" w:hAnsi="Arial" w:cs="Arial"/>
          <w:lang w:val="en-IE"/>
        </w:rPr>
      </w:pPr>
      <w:r w:rsidRPr="00994521">
        <w:rPr>
          <w:rFonts w:ascii="Arial" w:eastAsia="Arial" w:hAnsi="Arial" w:cs="Arial"/>
          <w:lang w:val="en-IE"/>
        </w:rPr>
        <w:t xml:space="preserve">Similarly to joint-venture models, the possibility to join the </w:t>
      </w:r>
      <w:r>
        <w:rPr>
          <w:rFonts w:ascii="Arial" w:eastAsia="Arial" w:hAnsi="Arial" w:cs="Arial"/>
          <w:lang w:val="en-IE"/>
        </w:rPr>
        <w:t>reciprocal access co-investment model</w:t>
      </w:r>
      <w:r w:rsidRPr="00994521">
        <w:rPr>
          <w:rFonts w:ascii="Arial" w:eastAsia="Arial" w:hAnsi="Arial" w:cs="Arial"/>
          <w:lang w:val="en-IE"/>
        </w:rPr>
        <w:t xml:space="preserve"> at later stages might be complex, e.g. because no area (that the already participating co-investors are interested in) may be left where a potential late co-investor can deploy </w:t>
      </w:r>
      <w:r>
        <w:rPr>
          <w:rFonts w:ascii="Arial" w:eastAsia="Arial" w:hAnsi="Arial" w:cs="Arial"/>
          <w:lang w:val="en-IE"/>
        </w:rPr>
        <w:t>its</w:t>
      </w:r>
      <w:r w:rsidRPr="00994521">
        <w:rPr>
          <w:rFonts w:ascii="Arial" w:eastAsia="Arial" w:hAnsi="Arial" w:cs="Arial"/>
          <w:lang w:val="en-IE"/>
        </w:rPr>
        <w:t xml:space="preserve"> independent network. Therefore, the terms of the co-investment offer might include specific cut-off dates</w:t>
      </w:r>
      <w:r>
        <w:rPr>
          <w:rFonts w:ascii="Arial" w:eastAsia="Arial" w:hAnsi="Arial" w:cs="Arial"/>
          <w:lang w:val="en-IE"/>
        </w:rPr>
        <w:t xml:space="preserve"> </w:t>
      </w:r>
      <w:r w:rsidRPr="00BD2269">
        <w:rPr>
          <w:rFonts w:ascii="Arial" w:eastAsia="Arial" w:hAnsi="Arial" w:cs="Arial"/>
          <w:lang w:val="en-IE"/>
        </w:rPr>
        <w:t xml:space="preserve">after which a late entry into the </w:t>
      </w:r>
      <w:r>
        <w:rPr>
          <w:rFonts w:ascii="Arial" w:eastAsia="Arial" w:hAnsi="Arial" w:cs="Arial"/>
          <w:lang w:val="en-IE"/>
        </w:rPr>
        <w:t>reciprocal access model</w:t>
      </w:r>
      <w:r w:rsidRPr="00BD2269">
        <w:rPr>
          <w:rFonts w:ascii="Arial" w:eastAsia="Arial" w:hAnsi="Arial" w:cs="Arial"/>
          <w:lang w:val="en-IE"/>
        </w:rPr>
        <w:t xml:space="preserve"> </w:t>
      </w:r>
      <w:r>
        <w:rPr>
          <w:rFonts w:ascii="Arial" w:eastAsia="Arial" w:hAnsi="Arial" w:cs="Arial"/>
          <w:lang w:val="en-IE"/>
        </w:rPr>
        <w:t xml:space="preserve">itself </w:t>
      </w:r>
      <w:r w:rsidRPr="00BD2269">
        <w:rPr>
          <w:rFonts w:ascii="Arial" w:eastAsia="Arial" w:hAnsi="Arial" w:cs="Arial"/>
          <w:lang w:val="en-IE"/>
        </w:rPr>
        <w:t>does not need to be guaranteed</w:t>
      </w:r>
      <w:r w:rsidRPr="00994521">
        <w:rPr>
          <w:rFonts w:ascii="Arial" w:eastAsia="Arial" w:hAnsi="Arial" w:cs="Arial"/>
          <w:lang w:val="en-IE"/>
        </w:rPr>
        <w:t xml:space="preserve">. </w:t>
      </w:r>
      <w:r>
        <w:rPr>
          <w:rFonts w:ascii="Arial" w:eastAsia="Arial" w:hAnsi="Arial" w:cs="Arial"/>
          <w:lang w:val="en-IE"/>
        </w:rPr>
        <w:t>However, a</w:t>
      </w:r>
      <w:r w:rsidRPr="00994521">
        <w:rPr>
          <w:rFonts w:ascii="Arial" w:eastAsia="Arial" w:hAnsi="Arial" w:cs="Arial"/>
          <w:lang w:val="en-IE"/>
        </w:rPr>
        <w:t xml:space="preserve">s stated in the context of joint-venture models, it </w:t>
      </w:r>
      <w:r>
        <w:rPr>
          <w:rFonts w:ascii="Arial" w:eastAsia="Arial" w:hAnsi="Arial" w:cs="Arial"/>
          <w:lang w:val="en-IE"/>
        </w:rPr>
        <w:t>would be</w:t>
      </w:r>
      <w:r w:rsidRPr="00994521">
        <w:rPr>
          <w:rFonts w:ascii="Arial" w:eastAsia="Arial" w:hAnsi="Arial" w:cs="Arial"/>
          <w:lang w:val="en-IE"/>
        </w:rPr>
        <w:t xml:space="preserve"> </w:t>
      </w:r>
      <w:r>
        <w:rPr>
          <w:rFonts w:ascii="Arial" w:eastAsia="Arial" w:hAnsi="Arial" w:cs="Arial"/>
          <w:lang w:val="en-IE"/>
        </w:rPr>
        <w:lastRenderedPageBreak/>
        <w:t>necessary</w:t>
      </w:r>
      <w:r w:rsidRPr="00994521">
        <w:rPr>
          <w:rFonts w:ascii="Arial" w:eastAsia="Arial" w:hAnsi="Arial" w:cs="Arial"/>
          <w:lang w:val="en-IE"/>
        </w:rPr>
        <w:t xml:space="preserve"> to put a different mechanism in place to ensure the </w:t>
      </w:r>
      <w:r>
        <w:rPr>
          <w:rFonts w:ascii="Arial" w:eastAsia="Arial" w:hAnsi="Arial" w:cs="Arial"/>
          <w:lang w:val="en-IE"/>
        </w:rPr>
        <w:t xml:space="preserve">effective </w:t>
      </w:r>
      <w:r w:rsidRPr="00994521">
        <w:rPr>
          <w:rFonts w:ascii="Arial" w:eastAsia="Arial" w:hAnsi="Arial" w:cs="Arial"/>
          <w:lang w:val="en-IE"/>
        </w:rPr>
        <w:t xml:space="preserve">openness of the co-investment offer, e.g. </w:t>
      </w:r>
      <w:r>
        <w:rPr>
          <w:rFonts w:ascii="Arial" w:eastAsia="Arial" w:hAnsi="Arial" w:cs="Arial"/>
          <w:lang w:val="en-IE"/>
        </w:rPr>
        <w:t xml:space="preserve">by </w:t>
      </w:r>
      <w:r w:rsidRPr="00994521">
        <w:rPr>
          <w:rFonts w:ascii="Arial" w:eastAsia="Arial" w:hAnsi="Arial" w:cs="Arial"/>
          <w:lang w:val="en-IE"/>
        </w:rPr>
        <w:t xml:space="preserve">combining the reciprocal access model </w:t>
      </w:r>
      <w:r>
        <w:rPr>
          <w:rFonts w:ascii="Arial" w:eastAsia="Arial" w:hAnsi="Arial" w:cs="Arial"/>
          <w:lang w:val="en-IE"/>
        </w:rPr>
        <w:t>with a</w:t>
      </w:r>
      <w:r w:rsidRPr="00994521">
        <w:rPr>
          <w:rFonts w:ascii="Arial" w:eastAsia="Arial" w:hAnsi="Arial" w:cs="Arial"/>
          <w:lang w:val="en-IE"/>
        </w:rPr>
        <w:t xml:space="preserve"> one-way access model. </w:t>
      </w:r>
    </w:p>
    <w:p w14:paraId="4156BA6D" w14:textId="77777777" w:rsidR="00020ADC" w:rsidRPr="00CD7C49" w:rsidRDefault="00020ADC" w:rsidP="002510B0">
      <w:pPr>
        <w:keepNext/>
        <w:keepLines/>
        <w:numPr>
          <w:ilvl w:val="3"/>
          <w:numId w:val="22"/>
        </w:numPr>
        <w:spacing w:before="40" w:after="120"/>
        <w:outlineLvl w:val="2"/>
        <w:rPr>
          <w:rFonts w:eastAsia="Arial"/>
        </w:rPr>
      </w:pPr>
      <w:bookmarkStart w:id="105" w:name="_Toc31190825"/>
      <w:bookmarkStart w:id="106" w:name="_Toc36816364"/>
      <w:bookmarkStart w:id="107" w:name="_Toc36030370"/>
      <w:bookmarkStart w:id="108" w:name="_Ref38453628"/>
      <w:bookmarkStart w:id="109" w:name="_Toc38464080"/>
      <w:r w:rsidRPr="00CD7C49">
        <w:rPr>
          <w:rFonts w:ascii="Arial" w:eastAsia="Arial" w:hAnsi="Arial" w:cs="Times New Roman"/>
          <w:color w:val="000000"/>
          <w:sz w:val="24"/>
          <w:lang w:val="en-GB"/>
        </w:rPr>
        <w:t>One-way access models</w:t>
      </w:r>
      <w:bookmarkEnd w:id="105"/>
      <w:bookmarkEnd w:id="106"/>
      <w:bookmarkEnd w:id="107"/>
      <w:bookmarkEnd w:id="108"/>
      <w:bookmarkEnd w:id="109"/>
    </w:p>
    <w:p w14:paraId="373AC40F" w14:textId="77777777" w:rsidR="00020ADC" w:rsidRPr="00994521" w:rsidRDefault="00020ADC" w:rsidP="00B43874">
      <w:pPr>
        <w:pStyle w:val="ListParagraph"/>
        <w:numPr>
          <w:ilvl w:val="0"/>
          <w:numId w:val="47"/>
        </w:numPr>
        <w:rPr>
          <w:rFonts w:ascii="Arial" w:eastAsia="Arial" w:hAnsi="Arial" w:cs="Arial"/>
          <w:lang w:val="en-IE"/>
        </w:rPr>
      </w:pPr>
      <w:r w:rsidRPr="00994521">
        <w:rPr>
          <w:rFonts w:ascii="Arial" w:eastAsia="Arial" w:hAnsi="Arial" w:cs="Arial"/>
          <w:lang w:val="en-IE"/>
        </w:rPr>
        <w:t>Compared to joint-venture and reciprocal access models, one-way access models –</w:t>
      </w:r>
      <w:r w:rsidR="00AC7C52">
        <w:rPr>
          <w:rFonts w:ascii="Arial" w:eastAsia="Arial" w:hAnsi="Arial" w:cs="Arial"/>
          <w:lang w:val="en-IE"/>
        </w:rPr>
        <w:t xml:space="preserve"> </w:t>
      </w:r>
      <w:r>
        <w:rPr>
          <w:rFonts w:ascii="Arial" w:eastAsia="Arial" w:hAnsi="Arial" w:cs="Arial"/>
          <w:lang w:val="en-IE"/>
        </w:rPr>
        <w:t xml:space="preserve">in which </w:t>
      </w:r>
      <w:r w:rsidRPr="00994521">
        <w:rPr>
          <w:rFonts w:ascii="Arial" w:eastAsia="Arial" w:hAnsi="Arial" w:cs="Arial"/>
          <w:lang w:val="en-IE"/>
        </w:rPr>
        <w:t xml:space="preserve">only </w:t>
      </w:r>
      <w:r>
        <w:rPr>
          <w:rFonts w:ascii="Arial" w:eastAsia="Arial" w:hAnsi="Arial" w:cs="Arial"/>
          <w:lang w:val="en-IE"/>
        </w:rPr>
        <w:t>one</w:t>
      </w:r>
      <w:r w:rsidRPr="00994521">
        <w:rPr>
          <w:rFonts w:ascii="Arial" w:eastAsia="Arial" w:hAnsi="Arial" w:cs="Arial"/>
          <w:lang w:val="en-IE"/>
        </w:rPr>
        <w:t xml:space="preserve"> single operator</w:t>
      </w:r>
      <w:r>
        <w:rPr>
          <w:rStyle w:val="FootnoteReference"/>
          <w:rFonts w:ascii="Arial" w:eastAsia="Arial" w:hAnsi="Arial" w:cs="Arial"/>
          <w:lang w:val="en-IE"/>
        </w:rPr>
        <w:footnoteReference w:id="21"/>
      </w:r>
      <w:r w:rsidRPr="00994521">
        <w:rPr>
          <w:rFonts w:ascii="Arial" w:eastAsia="Arial" w:hAnsi="Arial" w:cs="Arial"/>
          <w:lang w:val="en-IE"/>
        </w:rPr>
        <w:t xml:space="preserve"> deploys the network infrastructure and offers all co-investors access to </w:t>
      </w:r>
      <w:r>
        <w:rPr>
          <w:rFonts w:ascii="Arial" w:eastAsia="Arial" w:hAnsi="Arial" w:cs="Arial"/>
          <w:lang w:val="en-IE"/>
        </w:rPr>
        <w:t>its</w:t>
      </w:r>
      <w:r w:rsidRPr="00994521">
        <w:rPr>
          <w:rFonts w:ascii="Arial" w:eastAsia="Arial" w:hAnsi="Arial" w:cs="Arial"/>
          <w:lang w:val="en-IE"/>
        </w:rPr>
        <w:t xml:space="preserve"> network</w:t>
      </w:r>
      <w:r>
        <w:rPr>
          <w:rFonts w:ascii="Arial" w:eastAsia="Arial" w:hAnsi="Arial" w:cs="Arial"/>
          <w:lang w:val="en-IE"/>
        </w:rPr>
        <w:t xml:space="preserve"> </w:t>
      </w:r>
      <w:r w:rsidRPr="00994521">
        <w:rPr>
          <w:rFonts w:ascii="Arial" w:eastAsia="Arial" w:hAnsi="Arial" w:cs="Arial"/>
          <w:lang w:val="en-IE"/>
        </w:rPr>
        <w:t>–</w:t>
      </w:r>
      <w:r>
        <w:rPr>
          <w:rFonts w:ascii="Arial" w:eastAsia="Arial" w:hAnsi="Arial" w:cs="Arial"/>
          <w:lang w:val="en-IE"/>
        </w:rPr>
        <w:t xml:space="preserve"> </w:t>
      </w:r>
      <w:r w:rsidRPr="00994521">
        <w:rPr>
          <w:rFonts w:ascii="Arial" w:eastAsia="Arial" w:hAnsi="Arial" w:cs="Arial"/>
          <w:lang w:val="en-IE"/>
        </w:rPr>
        <w:t xml:space="preserve">are </w:t>
      </w:r>
      <w:r>
        <w:rPr>
          <w:rFonts w:ascii="Arial" w:eastAsia="Arial" w:hAnsi="Arial" w:cs="Arial"/>
          <w:lang w:val="en-IE"/>
        </w:rPr>
        <w:t xml:space="preserve">in general </w:t>
      </w:r>
      <w:r w:rsidRPr="00994521">
        <w:rPr>
          <w:rFonts w:ascii="Arial" w:eastAsia="Arial" w:hAnsi="Arial" w:cs="Arial"/>
          <w:lang w:val="en-IE"/>
        </w:rPr>
        <w:t>more flexible regarding the potential for late entry of additional co-investors and regarding the potential to increase the participat</w:t>
      </w:r>
      <w:r>
        <w:rPr>
          <w:rFonts w:ascii="Arial" w:eastAsia="Arial" w:hAnsi="Arial" w:cs="Arial"/>
          <w:lang w:val="en-IE"/>
        </w:rPr>
        <w:t xml:space="preserve">ion of an existing co-investor. Therefore, there should be no need to limit the requirements regarding the openness of the offer. </w:t>
      </w:r>
    </w:p>
    <w:p w14:paraId="648052D5" w14:textId="77777777" w:rsidR="00020ADC" w:rsidRPr="00CD7C49" w:rsidRDefault="00020ADC" w:rsidP="002510B0">
      <w:pPr>
        <w:keepNext/>
        <w:keepLines/>
        <w:numPr>
          <w:ilvl w:val="3"/>
          <w:numId w:val="22"/>
        </w:numPr>
        <w:spacing w:before="40" w:after="120"/>
        <w:outlineLvl w:val="2"/>
        <w:rPr>
          <w:rFonts w:eastAsia="Arial"/>
        </w:rPr>
      </w:pPr>
      <w:bookmarkStart w:id="110" w:name="_Toc31190826"/>
      <w:bookmarkStart w:id="111" w:name="_Toc36816365"/>
      <w:bookmarkStart w:id="112" w:name="_Toc36030371"/>
      <w:bookmarkStart w:id="113" w:name="_Toc38464081"/>
      <w:r w:rsidRPr="00CD7C49">
        <w:rPr>
          <w:rFonts w:ascii="Arial" w:eastAsia="Arial" w:hAnsi="Arial" w:cs="Times New Roman"/>
          <w:color w:val="000000"/>
          <w:sz w:val="24"/>
          <w:lang w:val="en-GB"/>
        </w:rPr>
        <w:t>Mixed-form models</w:t>
      </w:r>
      <w:bookmarkEnd w:id="110"/>
      <w:bookmarkEnd w:id="111"/>
      <w:bookmarkEnd w:id="112"/>
      <w:bookmarkEnd w:id="113"/>
    </w:p>
    <w:p w14:paraId="29F697FC" w14:textId="77777777" w:rsidR="00020ADC" w:rsidRDefault="00020ADC" w:rsidP="00B43874">
      <w:pPr>
        <w:pStyle w:val="ListParagraph"/>
        <w:numPr>
          <w:ilvl w:val="0"/>
          <w:numId w:val="47"/>
        </w:numPr>
        <w:rPr>
          <w:rFonts w:ascii="Arial" w:eastAsia="Arial" w:hAnsi="Arial" w:cs="Arial"/>
          <w:lang w:val="en-IE"/>
        </w:rPr>
      </w:pPr>
      <w:r>
        <w:rPr>
          <w:rFonts w:ascii="Arial" w:eastAsia="Arial" w:hAnsi="Arial" w:cs="Arial"/>
          <w:lang w:val="en-IE"/>
        </w:rPr>
        <w:t>As previously stated, c</w:t>
      </w:r>
      <w:r w:rsidRPr="00994521">
        <w:rPr>
          <w:rFonts w:ascii="Arial" w:eastAsia="Arial" w:hAnsi="Arial" w:cs="Arial"/>
          <w:lang w:val="en-IE"/>
        </w:rPr>
        <w:t>o-investment vehicles might also be designed as a mix of the above-mentioned types of co-investment</w:t>
      </w:r>
      <w:r>
        <w:rPr>
          <w:rFonts w:ascii="Arial" w:eastAsia="Arial" w:hAnsi="Arial" w:cs="Arial"/>
          <w:lang w:val="en-IE"/>
        </w:rPr>
        <w:t>s</w:t>
      </w:r>
      <w:r w:rsidRPr="00994521">
        <w:rPr>
          <w:rFonts w:ascii="Arial" w:eastAsia="Arial" w:hAnsi="Arial" w:cs="Arial"/>
          <w:lang w:val="en-IE"/>
        </w:rPr>
        <w:t>. As an example, in joint-venture and reciprocal access models, guaranteeing that the offer to co-invest is open at any moment during the lifetime of the network might only be possible by offering additional one-way access to potential late co-investors.</w:t>
      </w:r>
    </w:p>
    <w:p w14:paraId="743179E2" w14:textId="77777777" w:rsidR="00020ADC" w:rsidRPr="00CD7C49" w:rsidRDefault="00020ADC" w:rsidP="002510B0">
      <w:pPr>
        <w:keepNext/>
        <w:keepLines/>
        <w:numPr>
          <w:ilvl w:val="2"/>
          <w:numId w:val="22"/>
        </w:numPr>
        <w:spacing w:before="40" w:after="120"/>
        <w:outlineLvl w:val="2"/>
        <w:rPr>
          <w:rFonts w:eastAsia="Arial"/>
        </w:rPr>
      </w:pPr>
      <w:bookmarkStart w:id="114" w:name="_Toc36816366"/>
      <w:bookmarkStart w:id="115" w:name="_Toc36030372"/>
      <w:bookmarkStart w:id="116" w:name="_Toc38464082"/>
      <w:r w:rsidRPr="00CD7C49">
        <w:rPr>
          <w:rFonts w:ascii="Arial" w:eastAsia="Arial" w:hAnsi="Arial" w:cs="Times New Roman"/>
          <w:b/>
          <w:bCs/>
          <w:color w:val="000000"/>
          <w:sz w:val="24"/>
          <w:lang w:val="en-GB"/>
        </w:rPr>
        <w:t>Lifetime of the network</w:t>
      </w:r>
      <w:bookmarkEnd w:id="114"/>
      <w:bookmarkEnd w:id="115"/>
      <w:bookmarkEnd w:id="116"/>
    </w:p>
    <w:p w14:paraId="291DBD0D" w14:textId="77777777" w:rsidR="00020ADC" w:rsidRPr="00757BC8" w:rsidRDefault="00020ADC" w:rsidP="0027611B">
      <w:pPr>
        <w:pStyle w:val="ListParagraph"/>
        <w:numPr>
          <w:ilvl w:val="0"/>
          <w:numId w:val="47"/>
        </w:numPr>
        <w:spacing w:after="60"/>
        <w:contextualSpacing w:val="0"/>
        <w:rPr>
          <w:rFonts w:ascii="Arial" w:eastAsia="Arial" w:hAnsi="Arial" w:cs="Arial"/>
          <w:lang w:val="en-IE"/>
        </w:rPr>
      </w:pPr>
      <w:r>
        <w:rPr>
          <w:rFonts w:ascii="Arial" w:eastAsia="Arial" w:hAnsi="Arial" w:cs="Arial"/>
          <w:lang w:val="en-IE"/>
        </w:rPr>
        <w:t xml:space="preserve">BEREC notes that as each network is unique </w:t>
      </w:r>
      <w:r>
        <w:rPr>
          <w:rFonts w:ascii="Cambria Math" w:eastAsia="Arial" w:hAnsi="Cambria Math" w:cs="Cambria Math"/>
          <w:lang w:val="en-IE"/>
        </w:rPr>
        <w:t>(</w:t>
      </w:r>
      <w:r>
        <w:rPr>
          <w:rFonts w:ascii="Arial" w:eastAsia="Arial" w:hAnsi="Arial" w:cs="Arial"/>
          <w:lang w:val="en-IE"/>
        </w:rPr>
        <w:t>in terms of geographic scope and coverage, in terms of usage of parts/components and in terms of offered services), it is impossible to provide precise parameters that apply universally to the span of time of a network.</w:t>
      </w:r>
      <w:r w:rsidRPr="00757BC8">
        <w:rPr>
          <w:rFonts w:ascii="Arial" w:eastAsia="Arial" w:hAnsi="Arial" w:cs="Arial"/>
          <w:lang w:val="en-IE"/>
        </w:rPr>
        <w:t xml:space="preserve"> </w:t>
      </w:r>
    </w:p>
    <w:p w14:paraId="74EA6F91" w14:textId="77777777" w:rsidR="00020ADC" w:rsidRPr="00757BC8" w:rsidRDefault="00020ADC" w:rsidP="0027611B">
      <w:pPr>
        <w:pStyle w:val="ListParagraph"/>
        <w:numPr>
          <w:ilvl w:val="0"/>
          <w:numId w:val="47"/>
        </w:numPr>
        <w:spacing w:after="60"/>
        <w:contextualSpacing w:val="0"/>
        <w:rPr>
          <w:rFonts w:ascii="Arial" w:eastAsia="Arial" w:hAnsi="Arial" w:cs="Arial"/>
          <w:lang w:val="en-IE"/>
        </w:rPr>
      </w:pPr>
      <w:r>
        <w:rPr>
          <w:rFonts w:ascii="Arial" w:eastAsia="Arial" w:hAnsi="Arial" w:cs="Arial"/>
          <w:lang w:val="en-IE"/>
        </w:rPr>
        <w:t xml:space="preserve">There are different approaches to the concept of “lifetime of the network”: for example, there is a difference between </w:t>
      </w:r>
      <w:r w:rsidRPr="00E85D68">
        <w:rPr>
          <w:rFonts w:ascii="Arial" w:hAnsi="Arial" w:cs="Arial"/>
          <w:lang w:val="en-GB"/>
        </w:rPr>
        <w:t>technical</w:t>
      </w:r>
      <w:r>
        <w:rPr>
          <w:rFonts w:ascii="Arial" w:eastAsia="Arial" w:hAnsi="Arial" w:cs="Arial"/>
          <w:lang w:val="en-IE"/>
        </w:rPr>
        <w:t xml:space="preserve"> and commercial lifetime of the network. BEREC considers that, for the purposes of Article 76, the lifetime of the network can only be understood with reference to the expected life of the commercial co-investment scheme during which </w:t>
      </w:r>
      <w:r w:rsidRPr="00920AFC">
        <w:rPr>
          <w:rFonts w:ascii="Arial" w:eastAsia="Arial" w:hAnsi="Arial" w:cs="Arial"/>
          <w:lang w:val="en-IE"/>
        </w:rPr>
        <w:t>the network is fully operative</w:t>
      </w:r>
      <w:r>
        <w:rPr>
          <w:rFonts w:ascii="Arial" w:eastAsia="Arial" w:hAnsi="Arial" w:cs="Arial"/>
          <w:lang w:val="en-IE"/>
        </w:rPr>
        <w:t>, rather than the technical operating lifetime of any of the network components (that is likely longer than the commercial lifetime).</w:t>
      </w:r>
      <w:r w:rsidRPr="00757BC8">
        <w:rPr>
          <w:rFonts w:ascii="Arial" w:eastAsia="Arial" w:hAnsi="Arial" w:cs="Arial"/>
          <w:lang w:val="en-IE"/>
        </w:rPr>
        <w:t xml:space="preserve"> </w:t>
      </w:r>
    </w:p>
    <w:p w14:paraId="4B2513D5" w14:textId="43996AE2" w:rsidR="00511C99" w:rsidRDefault="00020ADC" w:rsidP="00511C99">
      <w:pPr>
        <w:pStyle w:val="ListParagraph"/>
        <w:numPr>
          <w:ilvl w:val="0"/>
          <w:numId w:val="47"/>
        </w:numPr>
        <w:rPr>
          <w:rFonts w:ascii="Arial" w:eastAsia="Arial" w:hAnsi="Arial" w:cs="Arial"/>
          <w:lang w:val="en-IE"/>
        </w:rPr>
      </w:pPr>
      <w:r>
        <w:rPr>
          <w:rFonts w:ascii="Arial" w:eastAsia="Arial" w:hAnsi="Arial" w:cs="Arial"/>
          <w:lang w:val="en-IE"/>
        </w:rPr>
        <w:t>BEREC considers that the expected commercial lifetime of the co-investment scheme should be included in the proposal made by the SMP operator as part of the submission for regulatory exemptions under Article 76. This expected lifetime would then inform decisions on the exemption and the NRA assessment of the suitability of the offer in terms of factors such as the openness of the co-investment scheme.</w:t>
      </w:r>
    </w:p>
    <w:p w14:paraId="34DAA930" w14:textId="40372B72" w:rsidR="00020ADC" w:rsidRPr="00511C99" w:rsidRDefault="00511C99" w:rsidP="00511C99">
      <w:pPr>
        <w:ind w:left="0" w:firstLine="0"/>
        <w:rPr>
          <w:rFonts w:ascii="Arial" w:eastAsia="Arial" w:hAnsi="Arial" w:cs="Arial"/>
          <w:lang w:val="en-IE"/>
        </w:rPr>
      </w:pPr>
      <w:r>
        <w:rPr>
          <w:rFonts w:ascii="Arial" w:eastAsia="Arial" w:hAnsi="Arial" w:cs="Arial"/>
          <w:lang w:val="en-IE"/>
        </w:rPr>
        <w:br w:type="page"/>
      </w:r>
    </w:p>
    <w:p w14:paraId="6876B6EE" w14:textId="77777777" w:rsidR="00565BB9" w:rsidRPr="00991AEA" w:rsidRDefault="00565BB9" w:rsidP="00C50B41">
      <w:pPr>
        <w:keepNext/>
        <w:keepLines/>
        <w:numPr>
          <w:ilvl w:val="1"/>
          <w:numId w:val="22"/>
        </w:numPr>
        <w:spacing w:before="240" w:after="120"/>
        <w:outlineLvl w:val="1"/>
        <w:rPr>
          <w:rFonts w:ascii="Arial" w:eastAsia="Times New Roman" w:hAnsi="Arial" w:cs="Times New Roman"/>
          <w:b/>
          <w:bCs/>
          <w:color w:val="000000"/>
          <w:sz w:val="28"/>
          <w:szCs w:val="26"/>
          <w:lang w:val="fr-FR"/>
        </w:rPr>
      </w:pPr>
      <w:bookmarkStart w:id="117" w:name="_Toc38464083"/>
      <w:r w:rsidRPr="00991AEA">
        <w:rPr>
          <w:rFonts w:ascii="Arial" w:eastAsia="Times New Roman" w:hAnsi="Arial" w:cs="Times New Roman"/>
          <w:b/>
          <w:bCs/>
          <w:color w:val="000000"/>
          <w:sz w:val="28"/>
          <w:szCs w:val="26"/>
          <w:lang w:val="fr-FR"/>
        </w:rPr>
        <w:lastRenderedPageBreak/>
        <w:t>Guidelines on Article 76 Par 1 Point B)</w:t>
      </w:r>
      <w:bookmarkEnd w:id="117"/>
      <w:r w:rsidRPr="00991AEA">
        <w:rPr>
          <w:rFonts w:ascii="Arial" w:eastAsia="Times New Roman" w:hAnsi="Arial" w:cs="Times New Roman"/>
          <w:b/>
          <w:bCs/>
          <w:color w:val="000000"/>
          <w:sz w:val="28"/>
          <w:szCs w:val="26"/>
          <w:lang w:val="fr-FR"/>
        </w:rPr>
        <w:t xml:space="preserve"> </w:t>
      </w:r>
      <w:bookmarkEnd w:id="85"/>
      <w:bookmarkEnd w:id="86"/>
      <w:bookmarkEnd w:id="87"/>
      <w:bookmarkEnd w:id="88"/>
      <w:bookmarkEnd w:id="89"/>
    </w:p>
    <w:p w14:paraId="2D54BF86" w14:textId="77777777" w:rsidR="003A54D6" w:rsidRPr="00565BB9" w:rsidRDefault="003A54D6" w:rsidP="003A54D6">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b/>
          <w:lang w:val="en-IE"/>
        </w:rPr>
      </w:pPr>
      <w:r w:rsidRPr="00565BB9">
        <w:rPr>
          <w:rFonts w:ascii="Arial" w:eastAsia="Arial" w:hAnsi="Arial" w:cs="Times New Roman"/>
          <w:b/>
          <w:lang w:val="en-IE"/>
        </w:rPr>
        <w:t>Point b)</w:t>
      </w:r>
    </w:p>
    <w:p w14:paraId="27444336" w14:textId="77777777" w:rsidR="003A54D6" w:rsidRPr="001D2FA5" w:rsidRDefault="003A54D6" w:rsidP="003A54D6">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b/>
          <w:lang w:val="en-IE"/>
        </w:rPr>
      </w:pPr>
      <w:r w:rsidRPr="001D2FA5">
        <w:rPr>
          <w:rFonts w:ascii="Arial" w:eastAsia="Arial" w:hAnsi="Arial" w:cs="Times New Roman"/>
          <w:lang w:val="en-IE"/>
        </w:rPr>
        <w:t>“</w:t>
      </w:r>
      <w:r w:rsidRPr="001D2FA5">
        <w:rPr>
          <w:rFonts w:ascii="Arial" w:eastAsia="Arial" w:hAnsi="Arial" w:cs="Times New Roman"/>
          <w:i/>
          <w:lang w:val="en-IE"/>
        </w:rPr>
        <w:t>it would allow other co-investors which are providers of electronic communications networks or services to compete effectively and sustainably in the long term in downstream markets in which the undertaking designated as having significant market power is active, on terms which include: […]”</w:t>
      </w:r>
    </w:p>
    <w:p w14:paraId="00D325B2" w14:textId="11FBF544" w:rsidR="003A54D6" w:rsidRPr="008D5996" w:rsidRDefault="003A54D6" w:rsidP="0027611B">
      <w:pPr>
        <w:pStyle w:val="ListParagraph"/>
        <w:numPr>
          <w:ilvl w:val="0"/>
          <w:numId w:val="47"/>
        </w:numPr>
        <w:spacing w:after="60"/>
        <w:contextualSpacing w:val="0"/>
        <w:rPr>
          <w:rFonts w:ascii="Arial" w:eastAsia="Arial" w:hAnsi="Arial" w:cs="Arial"/>
        </w:rPr>
      </w:pPr>
      <w:r w:rsidRPr="008D5996">
        <w:rPr>
          <w:rFonts w:ascii="Arial" w:eastAsia="Arial" w:hAnsi="Arial" w:cs="Arial"/>
        </w:rPr>
        <w:t xml:space="preserve">The conditions mentioned in Article 76 (1) point (b) are solely related to </w:t>
      </w:r>
      <w:r w:rsidRPr="008D5996">
        <w:rPr>
          <w:rFonts w:ascii="Arial" w:eastAsia="Arial" w:hAnsi="Arial" w:cs="Arial"/>
          <w:i/>
        </w:rPr>
        <w:t>“other co-investors”</w:t>
      </w:r>
      <w:r w:rsidRPr="008D5996">
        <w:rPr>
          <w:rFonts w:ascii="Arial" w:eastAsia="Arial" w:hAnsi="Arial" w:cs="Arial"/>
        </w:rPr>
        <w:t xml:space="preserve"> and do not concern access seekers not participating in the co-investment</w:t>
      </w:r>
      <w:r w:rsidRPr="00565BB9">
        <w:rPr>
          <w:vertAlign w:val="superscript"/>
        </w:rPr>
        <w:footnoteReference w:id="22"/>
      </w:r>
      <w:r w:rsidRPr="008D5996">
        <w:rPr>
          <w:rFonts w:ascii="Arial" w:eastAsia="Arial" w:hAnsi="Arial" w:cs="Arial"/>
        </w:rPr>
        <w:t xml:space="preserve">. NRAs </w:t>
      </w:r>
      <w:r>
        <w:rPr>
          <w:rFonts w:ascii="Arial" w:eastAsia="Arial" w:hAnsi="Arial" w:cs="Arial"/>
        </w:rPr>
        <w:t>may</w:t>
      </w:r>
      <w:r w:rsidRPr="008D5996">
        <w:rPr>
          <w:rFonts w:ascii="Arial" w:eastAsia="Arial" w:hAnsi="Arial" w:cs="Arial"/>
        </w:rPr>
        <w:t xml:space="preserve"> assess the co-investment offer at a preliminary stage when no </w:t>
      </w:r>
      <w:r>
        <w:rPr>
          <w:rFonts w:ascii="Arial" w:eastAsia="Arial" w:hAnsi="Arial" w:cs="Arial"/>
        </w:rPr>
        <w:t>provider of electronic communications networks and/or services</w:t>
      </w:r>
      <w:r w:rsidRPr="008D5996">
        <w:rPr>
          <w:rFonts w:ascii="Arial" w:eastAsia="Arial" w:hAnsi="Arial" w:cs="Arial"/>
        </w:rPr>
        <w:t xml:space="preserve"> has entered into the co-investment agreement yet. In this context, the reference to “other co-investors” has to be understood as a reference to </w:t>
      </w:r>
      <w:r w:rsidRPr="009C7176">
        <w:rPr>
          <w:rFonts w:ascii="Arial" w:eastAsia="Arial" w:hAnsi="Arial" w:cs="Arial"/>
          <w:i/>
        </w:rPr>
        <w:t>potential</w:t>
      </w:r>
      <w:r w:rsidRPr="008D5996">
        <w:rPr>
          <w:rFonts w:ascii="Arial" w:eastAsia="Arial" w:hAnsi="Arial" w:cs="Arial"/>
        </w:rPr>
        <w:t xml:space="preserve"> co-investors. </w:t>
      </w:r>
      <w:r>
        <w:rPr>
          <w:rFonts w:ascii="Arial" w:eastAsia="Arial" w:hAnsi="Arial" w:cs="Arial"/>
        </w:rPr>
        <w:t>Some of t</w:t>
      </w:r>
      <w:r w:rsidRPr="008D5996">
        <w:rPr>
          <w:rFonts w:ascii="Arial" w:eastAsia="Arial" w:hAnsi="Arial" w:cs="Arial"/>
        </w:rPr>
        <w:t>hese potential co-</w:t>
      </w:r>
      <w:r>
        <w:rPr>
          <w:rFonts w:ascii="Arial" w:eastAsia="Arial" w:hAnsi="Arial" w:cs="Arial"/>
        </w:rPr>
        <w:t>investors can</w:t>
      </w:r>
      <w:r w:rsidRPr="008D5996">
        <w:rPr>
          <w:rFonts w:ascii="Arial" w:eastAsia="Arial" w:hAnsi="Arial" w:cs="Arial"/>
        </w:rPr>
        <w:t xml:space="preserve"> </w:t>
      </w:r>
      <w:r>
        <w:rPr>
          <w:rFonts w:ascii="Arial" w:eastAsia="Arial" w:hAnsi="Arial" w:cs="Arial"/>
        </w:rPr>
        <w:t>typically</w:t>
      </w:r>
      <w:r w:rsidRPr="008D5996">
        <w:rPr>
          <w:rFonts w:ascii="Arial" w:eastAsia="Arial" w:hAnsi="Arial" w:cs="Arial"/>
        </w:rPr>
        <w:t xml:space="preserve"> be identified while the market test is run, through the public consultation in accordance with Article 79 (2)</w:t>
      </w:r>
      <w:r>
        <w:rPr>
          <w:rFonts w:ascii="Arial" w:eastAsia="Arial" w:hAnsi="Arial" w:cs="Arial"/>
        </w:rPr>
        <w:t xml:space="preserve">, whereas others may also enter the market at a later stage (i.e. after the market test was run) and join the co-investment scheme as further detailed in Section </w:t>
      </w:r>
      <w:r w:rsidR="00F5702D">
        <w:rPr>
          <w:rFonts w:ascii="Arial" w:eastAsia="Arial" w:hAnsi="Arial" w:cs="Arial"/>
        </w:rPr>
        <w:fldChar w:fldCharType="begin"/>
      </w:r>
      <w:r w:rsidR="00F5702D">
        <w:rPr>
          <w:rFonts w:ascii="Arial" w:eastAsia="Arial" w:hAnsi="Arial" w:cs="Arial"/>
        </w:rPr>
        <w:instrText xml:space="preserve"> REF _Ref38452536 \r \h </w:instrText>
      </w:r>
      <w:r w:rsidR="00F5702D">
        <w:rPr>
          <w:rFonts w:ascii="Arial" w:eastAsia="Arial" w:hAnsi="Arial" w:cs="Arial"/>
        </w:rPr>
      </w:r>
      <w:r w:rsidR="00F5702D">
        <w:rPr>
          <w:rFonts w:ascii="Arial" w:eastAsia="Arial" w:hAnsi="Arial" w:cs="Arial"/>
        </w:rPr>
        <w:fldChar w:fldCharType="separate"/>
      </w:r>
      <w:r w:rsidR="00F645A3">
        <w:rPr>
          <w:rFonts w:ascii="Arial" w:eastAsia="Arial" w:hAnsi="Arial" w:cs="Arial"/>
        </w:rPr>
        <w:t>3.3.2</w:t>
      </w:r>
      <w:r w:rsidR="00F5702D">
        <w:rPr>
          <w:rFonts w:ascii="Arial" w:eastAsia="Arial" w:hAnsi="Arial" w:cs="Arial"/>
        </w:rPr>
        <w:fldChar w:fldCharType="end"/>
      </w:r>
      <w:r w:rsidR="00F5702D">
        <w:rPr>
          <w:rFonts w:ascii="Arial" w:eastAsia="Arial" w:hAnsi="Arial" w:cs="Arial"/>
        </w:rPr>
        <w:t>.</w:t>
      </w:r>
      <w:r w:rsidR="00F5702D" w:rsidRPr="008D5996">
        <w:rPr>
          <w:rFonts w:ascii="Arial" w:eastAsia="Arial" w:hAnsi="Arial" w:cs="Arial"/>
        </w:rPr>
        <w:t xml:space="preserve"> </w:t>
      </w:r>
    </w:p>
    <w:p w14:paraId="3F59BE2F" w14:textId="77777777" w:rsidR="003A54D6" w:rsidRDefault="003A54D6" w:rsidP="0027611B">
      <w:pPr>
        <w:pStyle w:val="ListParagraph"/>
        <w:numPr>
          <w:ilvl w:val="0"/>
          <w:numId w:val="47"/>
        </w:numPr>
        <w:spacing w:after="60"/>
        <w:contextualSpacing w:val="0"/>
        <w:rPr>
          <w:rFonts w:ascii="Arial" w:eastAsia="Arial" w:hAnsi="Arial" w:cs="Arial"/>
        </w:rPr>
      </w:pPr>
      <w:r w:rsidRPr="00D6445F">
        <w:rPr>
          <w:rFonts w:ascii="Arial" w:eastAsia="Arial" w:hAnsi="Arial" w:cs="Arial"/>
        </w:rPr>
        <w:t xml:space="preserve">When assessing </w:t>
      </w:r>
      <w:r>
        <w:rPr>
          <w:rFonts w:ascii="Arial" w:eastAsia="Arial" w:hAnsi="Arial" w:cs="Arial"/>
        </w:rPr>
        <w:t>the</w:t>
      </w:r>
      <w:r w:rsidRPr="00D6445F">
        <w:rPr>
          <w:rFonts w:ascii="Arial" w:eastAsia="Arial" w:hAnsi="Arial" w:cs="Arial"/>
        </w:rPr>
        <w:t xml:space="preserve"> commitment</w:t>
      </w:r>
      <w:r>
        <w:rPr>
          <w:rFonts w:ascii="Arial" w:eastAsia="Arial" w:hAnsi="Arial" w:cs="Arial"/>
        </w:rPr>
        <w:t>s</w:t>
      </w:r>
      <w:r w:rsidRPr="00D6445F">
        <w:rPr>
          <w:rFonts w:ascii="Arial" w:eastAsia="Arial" w:hAnsi="Arial" w:cs="Arial"/>
        </w:rPr>
        <w:t xml:space="preserve"> proposed by an SMP operator</w:t>
      </w:r>
      <w:r w:rsidRPr="00CB220C">
        <w:rPr>
          <w:rFonts w:ascii="Arial" w:eastAsia="Arial" w:hAnsi="Arial" w:cs="Arial"/>
        </w:rPr>
        <w:t xml:space="preserve">, </w:t>
      </w:r>
      <w:r w:rsidRPr="00DE7167">
        <w:rPr>
          <w:rFonts w:ascii="Arial" w:eastAsia="Arial" w:hAnsi="Arial" w:cs="Arial"/>
        </w:rPr>
        <w:t xml:space="preserve">NRAs should consider – if applicable – the sub-conditions detailed </w:t>
      </w:r>
      <w:r w:rsidR="00AC7C52">
        <w:rPr>
          <w:rFonts w:ascii="Arial" w:eastAsia="Arial" w:hAnsi="Arial" w:cs="Arial"/>
        </w:rPr>
        <w:t>in</w:t>
      </w:r>
      <w:r w:rsidR="00AC7C52" w:rsidRPr="00DE7167">
        <w:rPr>
          <w:rFonts w:ascii="Arial" w:eastAsia="Arial" w:hAnsi="Arial" w:cs="Arial"/>
        </w:rPr>
        <w:t xml:space="preserve"> </w:t>
      </w:r>
      <w:r>
        <w:rPr>
          <w:rFonts w:ascii="Arial" w:eastAsia="Arial" w:hAnsi="Arial" w:cs="Arial"/>
        </w:rPr>
        <w:t xml:space="preserve">point </w:t>
      </w:r>
      <w:r w:rsidRPr="00DE7167">
        <w:rPr>
          <w:rFonts w:ascii="Arial" w:eastAsia="Arial" w:hAnsi="Arial" w:cs="Arial"/>
        </w:rPr>
        <w:t>(b) (i) to (iv)</w:t>
      </w:r>
      <w:r>
        <w:rPr>
          <w:rStyle w:val="FootnoteReference"/>
          <w:rFonts w:ascii="Arial" w:eastAsia="Arial" w:hAnsi="Arial" w:cs="Arial"/>
        </w:rPr>
        <w:footnoteReference w:id="23"/>
      </w:r>
      <w:r w:rsidRPr="00DE7167">
        <w:rPr>
          <w:rFonts w:ascii="Arial" w:eastAsia="Arial" w:hAnsi="Arial" w:cs="Arial"/>
        </w:rPr>
        <w:t>.</w:t>
      </w:r>
      <w:r>
        <w:rPr>
          <w:rFonts w:ascii="Arial" w:eastAsia="Arial" w:hAnsi="Arial" w:cs="Arial"/>
          <w:b/>
        </w:rPr>
        <w:t xml:space="preserve"> </w:t>
      </w:r>
      <w:r>
        <w:rPr>
          <w:rFonts w:ascii="Arial" w:eastAsia="Arial" w:hAnsi="Arial" w:cs="Arial"/>
        </w:rPr>
        <w:t>Under specific and justified circumstances</w:t>
      </w:r>
      <w:r>
        <w:rPr>
          <w:vertAlign w:val="superscript"/>
        </w:rPr>
        <w:footnoteReference w:id="24"/>
      </w:r>
      <w:r>
        <w:rPr>
          <w:rFonts w:ascii="Arial" w:eastAsia="Arial" w:hAnsi="Arial" w:cs="Arial"/>
        </w:rPr>
        <w:t>, and insofar as the application of the above-mentioned sub-conditions does not allow potential co-investors</w:t>
      </w:r>
      <w:r w:rsidRPr="00D6445F">
        <w:rPr>
          <w:rFonts w:ascii="Arial" w:eastAsia="Arial" w:hAnsi="Arial" w:cs="Arial"/>
        </w:rPr>
        <w:t xml:space="preserve"> </w:t>
      </w:r>
      <w:r>
        <w:rPr>
          <w:rFonts w:ascii="Arial" w:eastAsia="Arial" w:hAnsi="Arial" w:cs="Arial"/>
        </w:rPr>
        <w:t>“</w:t>
      </w:r>
      <w:r w:rsidRPr="003B24EC">
        <w:rPr>
          <w:rFonts w:ascii="Arial" w:eastAsia="Arial" w:hAnsi="Arial" w:cs="Arial"/>
          <w:i/>
        </w:rPr>
        <w:t xml:space="preserve">to compete effectively and sustainably </w:t>
      </w:r>
      <w:r w:rsidRPr="00E82748">
        <w:rPr>
          <w:rFonts w:ascii="Arial" w:eastAsia="Arial" w:hAnsi="Arial" w:cs="Arial"/>
          <w:i/>
        </w:rPr>
        <w:t>in the long term i</w:t>
      </w:r>
      <w:r w:rsidRPr="004538E2">
        <w:rPr>
          <w:rFonts w:ascii="Arial" w:eastAsia="Arial" w:hAnsi="Arial" w:cs="Arial"/>
          <w:i/>
        </w:rPr>
        <w:t>n</w:t>
      </w:r>
      <w:r>
        <w:rPr>
          <w:rFonts w:ascii="Arial" w:eastAsia="Arial" w:hAnsi="Arial" w:cs="Arial"/>
        </w:rPr>
        <w:t xml:space="preserve"> </w:t>
      </w:r>
      <w:r w:rsidRPr="00D6445F">
        <w:rPr>
          <w:rFonts w:ascii="Arial" w:eastAsia="Arial" w:hAnsi="Arial" w:cs="Arial"/>
          <w:i/>
        </w:rPr>
        <w:t>downstream market</w:t>
      </w:r>
      <w:r w:rsidRPr="00D6445F">
        <w:rPr>
          <w:rFonts w:ascii="Arial" w:hAnsi="Arial"/>
          <w:i/>
        </w:rPr>
        <w:t>s</w:t>
      </w:r>
      <w:r w:rsidRPr="00D6445F">
        <w:rPr>
          <w:rFonts w:ascii="Arial" w:eastAsia="Arial" w:hAnsi="Arial" w:cs="Arial"/>
          <w:i/>
        </w:rPr>
        <w:t xml:space="preserve"> in which the undertaking designated as having significant market power is active</w:t>
      </w:r>
      <w:r>
        <w:rPr>
          <w:rFonts w:ascii="Arial" w:eastAsia="Arial" w:hAnsi="Arial" w:cs="Arial"/>
          <w:i/>
        </w:rPr>
        <w:t>”</w:t>
      </w:r>
      <w:r>
        <w:rPr>
          <w:rFonts w:ascii="Arial" w:eastAsia="Arial" w:hAnsi="Arial" w:cs="Arial"/>
        </w:rPr>
        <w:t xml:space="preserve">, </w:t>
      </w:r>
      <w:r w:rsidRPr="004538E2">
        <w:rPr>
          <w:rFonts w:ascii="Arial" w:eastAsia="Arial" w:hAnsi="Arial" w:cs="Arial"/>
        </w:rPr>
        <w:t>NRAs may</w:t>
      </w:r>
      <w:r w:rsidRPr="00D6445F">
        <w:rPr>
          <w:rFonts w:ascii="Arial" w:eastAsia="Arial" w:hAnsi="Arial" w:cs="Arial"/>
        </w:rPr>
        <w:t xml:space="preserve"> define additional </w:t>
      </w:r>
      <w:r>
        <w:rPr>
          <w:rFonts w:ascii="Arial" w:eastAsia="Arial" w:hAnsi="Arial" w:cs="Arial"/>
        </w:rPr>
        <w:t xml:space="preserve">sub-conditions pursuant to </w:t>
      </w:r>
      <w:r w:rsidR="001E74DE">
        <w:rPr>
          <w:rFonts w:ascii="Arial" w:eastAsia="Arial" w:hAnsi="Arial" w:cs="Arial"/>
        </w:rPr>
        <w:t>point</w:t>
      </w:r>
      <w:r>
        <w:rPr>
          <w:rFonts w:ascii="Arial" w:eastAsia="Arial" w:hAnsi="Arial" w:cs="Arial"/>
        </w:rPr>
        <w:t xml:space="preserve"> (b) in order to meet this objective</w:t>
      </w:r>
      <w:r w:rsidRPr="00D6445F">
        <w:rPr>
          <w:rFonts w:ascii="Arial" w:eastAsia="Arial" w:hAnsi="Arial" w:cs="Arial"/>
        </w:rPr>
        <w:t>.</w:t>
      </w:r>
      <w:r>
        <w:rPr>
          <w:rFonts w:ascii="Arial" w:eastAsia="Arial" w:hAnsi="Arial" w:cs="Arial"/>
        </w:rPr>
        <w:t xml:space="preserve"> These additional conditions would take full account of the principle of proportionality. </w:t>
      </w:r>
    </w:p>
    <w:p w14:paraId="70E1E478" w14:textId="77777777" w:rsidR="003A54D6" w:rsidRDefault="003A54D6" w:rsidP="003A54D6">
      <w:pPr>
        <w:pStyle w:val="ListParagraph"/>
        <w:numPr>
          <w:ilvl w:val="0"/>
          <w:numId w:val="47"/>
        </w:numPr>
      </w:pPr>
      <w:r w:rsidRPr="00655239">
        <w:rPr>
          <w:rFonts w:ascii="Arial" w:eastAsia="Arial" w:hAnsi="Arial" w:cs="Arial"/>
        </w:rPr>
        <w:t>Such an approach would allow for a more effective application of the relevant provision(s) of the Article.</w:t>
      </w:r>
    </w:p>
    <w:p w14:paraId="2506BB45" w14:textId="77777777" w:rsidR="003A54D6" w:rsidRPr="00CD7C49" w:rsidRDefault="003A54D6" w:rsidP="002510B0">
      <w:pPr>
        <w:keepNext/>
        <w:keepLines/>
        <w:numPr>
          <w:ilvl w:val="2"/>
          <w:numId w:val="22"/>
        </w:numPr>
        <w:spacing w:before="40" w:after="120"/>
        <w:outlineLvl w:val="2"/>
        <w:rPr>
          <w:rFonts w:ascii="Arial" w:eastAsia="Arial" w:hAnsi="Arial" w:cs="Times New Roman"/>
          <w:b/>
          <w:bCs/>
          <w:color w:val="000000"/>
          <w:sz w:val="24"/>
          <w:lang w:val="en-GB"/>
        </w:rPr>
      </w:pPr>
      <w:bookmarkStart w:id="118" w:name="_Toc38464084"/>
      <w:r w:rsidRPr="00CD7C49">
        <w:rPr>
          <w:rFonts w:ascii="Arial" w:eastAsia="Arial" w:hAnsi="Arial" w:cs="Times New Roman"/>
          <w:b/>
          <w:bCs/>
          <w:color w:val="000000"/>
          <w:sz w:val="24"/>
          <w:lang w:val="en-GB"/>
        </w:rPr>
        <w:t xml:space="preserve">Guidelines on Article 76 Par 1 Point B) (I) </w:t>
      </w:r>
      <w:bookmarkEnd w:id="118"/>
    </w:p>
    <w:p w14:paraId="0E4AFA4B" w14:textId="77777777" w:rsidR="003A54D6" w:rsidRPr="003A54D6" w:rsidRDefault="003A54D6" w:rsidP="003A54D6">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3A54D6">
        <w:rPr>
          <w:rFonts w:ascii="Arial" w:eastAsia="Arial" w:hAnsi="Arial" w:cs="Times New Roman"/>
          <w:b/>
          <w:lang w:val="en-IE"/>
        </w:rPr>
        <w:t>Point b) (i):</w:t>
      </w:r>
      <w:r w:rsidRPr="003A54D6">
        <w:rPr>
          <w:rFonts w:ascii="Arial" w:eastAsia="Arial" w:hAnsi="Arial" w:cs="Times New Roman"/>
          <w:lang w:val="en-IE"/>
        </w:rPr>
        <w:t xml:space="preserve"> “</w:t>
      </w:r>
      <w:r w:rsidRPr="003A54D6">
        <w:rPr>
          <w:rFonts w:ascii="Arial" w:eastAsia="Arial" w:hAnsi="Arial" w:cs="Times New Roman"/>
          <w:i/>
          <w:lang w:val="en-IE"/>
        </w:rPr>
        <w:t>fair, reasonable and non-discriminatory terms allowing access to the full capacity of the network to the extent that it is subject to co-investment</w:t>
      </w:r>
      <w:r w:rsidRPr="003A54D6">
        <w:rPr>
          <w:rFonts w:ascii="Arial" w:eastAsia="Arial" w:hAnsi="Arial" w:cs="Times New Roman"/>
          <w:lang w:val="en-IE"/>
        </w:rPr>
        <w:t>;”</w:t>
      </w:r>
    </w:p>
    <w:p w14:paraId="6D70D9DF" w14:textId="77777777" w:rsidR="003A54D6" w:rsidRDefault="003A54D6" w:rsidP="00B43874">
      <w:pPr>
        <w:pStyle w:val="ListParagraph"/>
        <w:numPr>
          <w:ilvl w:val="0"/>
          <w:numId w:val="47"/>
        </w:numPr>
        <w:rPr>
          <w:rFonts w:ascii="Arial" w:eastAsia="Arial" w:hAnsi="Arial" w:cs="Arial"/>
        </w:rPr>
      </w:pPr>
      <w:r w:rsidRPr="003A54D6">
        <w:rPr>
          <w:rFonts w:ascii="Arial" w:eastAsia="Arial" w:hAnsi="Arial" w:cs="Arial"/>
        </w:rPr>
        <w:t xml:space="preserve">This sub-condition is – together with sub-conditions (b) (ii) through (iv) – one of the key aspects in ensuring that co-investors can </w:t>
      </w:r>
      <w:r w:rsidRPr="003A54D6">
        <w:rPr>
          <w:rFonts w:ascii="Arial" w:eastAsia="Arial" w:hAnsi="Arial" w:cs="Arial"/>
          <w:i/>
        </w:rPr>
        <w:t>“compete effectively and sustainably in the long term in downstream markets in which the undertaking designated as having significant market power is active”</w:t>
      </w:r>
      <w:r w:rsidRPr="003A54D6">
        <w:rPr>
          <w:rFonts w:ascii="Arial" w:eastAsia="Arial" w:hAnsi="Arial" w:cs="Arial"/>
        </w:rPr>
        <w:t xml:space="preserve">. Implementing fair, reasonable and non-discriminatory terms is essential to </w:t>
      </w:r>
      <w:r w:rsidRPr="003A54D6">
        <w:rPr>
          <w:rFonts w:ascii="Arial" w:eastAsia="Arial" w:hAnsi="Arial" w:cs="Arial"/>
        </w:rPr>
        <w:lastRenderedPageBreak/>
        <w:t>safeguard the interests of the other co-investors after NRAs decide not to impose further obligations on the SMP operator according to Articles 76 and 79.</w:t>
      </w:r>
    </w:p>
    <w:p w14:paraId="0324D56C" w14:textId="77777777" w:rsidR="003A54D6" w:rsidRPr="00CD7C49" w:rsidRDefault="003A54D6" w:rsidP="002510B0">
      <w:pPr>
        <w:keepNext/>
        <w:keepLines/>
        <w:numPr>
          <w:ilvl w:val="3"/>
          <w:numId w:val="22"/>
        </w:numPr>
        <w:spacing w:before="40" w:after="120"/>
        <w:outlineLvl w:val="2"/>
        <w:rPr>
          <w:rFonts w:ascii="Arial" w:eastAsia="Arial" w:hAnsi="Arial" w:cs="Times New Roman"/>
          <w:color w:val="000000"/>
          <w:sz w:val="24"/>
          <w:lang w:val="en-GB"/>
        </w:rPr>
      </w:pPr>
      <w:bookmarkStart w:id="119" w:name="_Toc24096925"/>
      <w:bookmarkStart w:id="120" w:name="_Toc31190829"/>
      <w:bookmarkStart w:id="121" w:name="_Toc24112037"/>
      <w:bookmarkStart w:id="122" w:name="_Toc36816368"/>
      <w:bookmarkStart w:id="123" w:name="_Toc36030374"/>
      <w:bookmarkStart w:id="124" w:name="_Toc38464085"/>
      <w:r w:rsidRPr="00CD7C49">
        <w:rPr>
          <w:rFonts w:ascii="Arial" w:eastAsia="Arial" w:hAnsi="Arial" w:cs="Times New Roman"/>
          <w:color w:val="000000"/>
          <w:sz w:val="24"/>
          <w:lang w:val="en-GB"/>
        </w:rPr>
        <w:t>“Fair, reasonable and non-discriminatory terms”</w:t>
      </w:r>
      <w:bookmarkEnd w:id="119"/>
      <w:bookmarkEnd w:id="120"/>
      <w:bookmarkEnd w:id="121"/>
      <w:bookmarkEnd w:id="122"/>
      <w:bookmarkEnd w:id="123"/>
      <w:bookmarkEnd w:id="124"/>
    </w:p>
    <w:p w14:paraId="371C3FBD" w14:textId="77777777" w:rsidR="003A54D6" w:rsidRPr="003A54D6" w:rsidRDefault="003A54D6" w:rsidP="00223319">
      <w:pPr>
        <w:pStyle w:val="ListParagraph"/>
        <w:numPr>
          <w:ilvl w:val="0"/>
          <w:numId w:val="47"/>
        </w:numPr>
        <w:spacing w:after="60"/>
        <w:rPr>
          <w:rFonts w:ascii="Arial" w:eastAsia="Arial" w:hAnsi="Arial" w:cs="Arial"/>
          <w:lang w:val="en-GB"/>
        </w:rPr>
      </w:pPr>
      <w:r w:rsidRPr="003A54D6">
        <w:rPr>
          <w:rFonts w:ascii="Arial" w:eastAsia="Arial" w:hAnsi="Arial" w:cs="Arial"/>
        </w:rPr>
        <w:t xml:space="preserve">The terms of the co-investment offer have to be fair, reasonable and non-discriminatory. According to Annex IV (c), </w:t>
      </w:r>
      <w:r w:rsidRPr="003A54D6">
        <w:rPr>
          <w:rFonts w:ascii="Arial" w:eastAsia="Arial" w:hAnsi="Arial" w:cs="Arial"/>
          <w:lang w:val="en-GB"/>
        </w:rPr>
        <w:t>these terms include amongst others:</w:t>
      </w:r>
    </w:p>
    <w:p w14:paraId="51C615A5" w14:textId="77777777" w:rsidR="003A54D6" w:rsidRPr="003A54D6" w:rsidRDefault="003A54D6" w:rsidP="003A54D6">
      <w:pPr>
        <w:numPr>
          <w:ilvl w:val="1"/>
          <w:numId w:val="35"/>
        </w:numPr>
        <w:tabs>
          <w:tab w:val="left" w:pos="1170"/>
        </w:tabs>
        <w:spacing w:after="0"/>
        <w:ind w:left="1560" w:hanging="426"/>
        <w:rPr>
          <w:rFonts w:ascii="Arial" w:eastAsia="Arial" w:hAnsi="Arial" w:cs="Arial"/>
        </w:rPr>
      </w:pPr>
      <w:r w:rsidRPr="003A54D6">
        <w:rPr>
          <w:rFonts w:ascii="Arial" w:eastAsia="Arial" w:hAnsi="Arial" w:cs="Arial"/>
          <w:lang w:val="en-GB"/>
        </w:rPr>
        <w:t xml:space="preserve">Terms </w:t>
      </w:r>
      <w:r w:rsidRPr="003A54D6">
        <w:rPr>
          <w:rFonts w:ascii="Arial" w:eastAsia="Arial" w:hAnsi="Arial" w:cs="Arial"/>
        </w:rPr>
        <w:t>regarding the financial consideration required for the acquisition of specific rights (in the following called “financial terms”);</w:t>
      </w:r>
    </w:p>
    <w:p w14:paraId="37393F92" w14:textId="77777777" w:rsidR="003A54D6" w:rsidRPr="003A54D6" w:rsidRDefault="003A54D6" w:rsidP="003A54D6">
      <w:pPr>
        <w:numPr>
          <w:ilvl w:val="1"/>
          <w:numId w:val="35"/>
        </w:numPr>
        <w:tabs>
          <w:tab w:val="left" w:pos="1170"/>
        </w:tabs>
        <w:spacing w:after="0"/>
        <w:ind w:left="1560" w:hanging="426"/>
        <w:rPr>
          <w:rFonts w:ascii="Arial" w:eastAsia="Arial" w:hAnsi="Arial" w:cs="Arial"/>
        </w:rPr>
      </w:pPr>
      <w:r w:rsidRPr="003A54D6">
        <w:rPr>
          <w:rFonts w:ascii="Arial" w:eastAsia="Arial" w:hAnsi="Arial" w:cs="Arial"/>
        </w:rPr>
        <w:t>Terms regarding the protection awarded to the co-investors by those rights both during the building phase and during the exploitation/operational and any expansion phases;</w:t>
      </w:r>
    </w:p>
    <w:p w14:paraId="2A489BB5" w14:textId="77777777" w:rsidR="003A54D6" w:rsidRPr="003A54D6" w:rsidRDefault="003A54D6" w:rsidP="00223319">
      <w:pPr>
        <w:numPr>
          <w:ilvl w:val="1"/>
          <w:numId w:val="35"/>
        </w:numPr>
        <w:tabs>
          <w:tab w:val="left" w:pos="1170"/>
        </w:tabs>
        <w:spacing w:after="60"/>
        <w:ind w:left="1560" w:hanging="426"/>
        <w:rPr>
          <w:rFonts w:ascii="Arial" w:eastAsia="Arial" w:hAnsi="Arial" w:cs="Arial"/>
        </w:rPr>
      </w:pPr>
      <w:r w:rsidRPr="003A54D6">
        <w:rPr>
          <w:rFonts w:ascii="Arial" w:eastAsia="Arial" w:hAnsi="Arial" w:cs="Arial"/>
        </w:rPr>
        <w:t>Terms regarding the conditions for joining and potentially terminating the co-investment agreement.</w:t>
      </w:r>
    </w:p>
    <w:p w14:paraId="3E8A3629"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Adhering to fair, reasonable and non-discriminatory terms</w:t>
      </w:r>
      <w:r w:rsidRPr="003A54D6">
        <w:rPr>
          <w:vertAlign w:val="superscript"/>
          <w:lang w:val="en-GB"/>
        </w:rPr>
        <w:footnoteReference w:id="25"/>
      </w:r>
      <w:r w:rsidRPr="003A54D6">
        <w:rPr>
          <w:rFonts w:ascii="Arial" w:eastAsia="Arial" w:hAnsi="Arial" w:cs="Arial"/>
        </w:rPr>
        <w:t xml:space="preserve"> ensures that other co-investors can compete effectively and sustainably in the long term, especially with the SMP operator.</w:t>
      </w:r>
      <w:r w:rsidRPr="003A54D6" w:rsidDel="00C52744">
        <w:rPr>
          <w:rFonts w:ascii="Arial" w:eastAsia="Arial" w:hAnsi="Arial" w:cs="Arial"/>
        </w:rPr>
        <w:t xml:space="preserve"> </w:t>
      </w:r>
      <w:r w:rsidRPr="003A54D6">
        <w:rPr>
          <w:rFonts w:ascii="Arial" w:eastAsia="Arial" w:hAnsi="Arial" w:cs="Arial"/>
        </w:rPr>
        <w:t xml:space="preserve">This implies that all co-investors, including the SMP operator, should have similar commercialization chances and investment risks within the co-investment offer given their respective investment share/commitment and relative to the time they join. In particular, these depend on the quality level of access granted. Therefore, in case the co-investors themselves exercise command over (some of) the new network elements, all co-investors should grant each other </w:t>
      </w:r>
      <w:r w:rsidRPr="003A54D6">
        <w:rPr>
          <w:rFonts w:ascii="Arial" w:eastAsia="Arial" w:hAnsi="Arial" w:cs="Arial"/>
          <w:i/>
        </w:rPr>
        <w:t>reciprocal rights</w:t>
      </w:r>
      <w:r w:rsidRPr="003A54D6">
        <w:rPr>
          <w:rFonts w:ascii="Arial" w:eastAsia="Arial" w:hAnsi="Arial" w:cs="Arial"/>
        </w:rPr>
        <w:t xml:space="preserve"> on fair and reasonable terms and conditions to access the co-invested infrastructure. Furthermore, a co-investment vehicle must provide for access to all co-investors on an equivalence of input basis as well as the conditions of fairness and reasonableness according to Annex IV (c).</w:t>
      </w:r>
    </w:p>
    <w:p w14:paraId="574CA0B4" w14:textId="5A352848" w:rsidR="003A54D6" w:rsidRPr="003A54D6" w:rsidRDefault="003A54D6" w:rsidP="00223319">
      <w:pPr>
        <w:pStyle w:val="ListParagraph"/>
        <w:numPr>
          <w:ilvl w:val="0"/>
          <w:numId w:val="47"/>
        </w:numPr>
        <w:spacing w:after="60"/>
        <w:contextualSpacing w:val="0"/>
        <w:rPr>
          <w:rFonts w:ascii="Arial" w:eastAsia="Arial" w:hAnsi="Arial" w:cs="Arial"/>
          <w:lang w:val="en-GB"/>
        </w:rPr>
      </w:pPr>
      <w:r w:rsidRPr="003A54D6">
        <w:rPr>
          <w:rFonts w:ascii="Arial" w:eastAsia="Arial" w:hAnsi="Arial" w:cs="Arial"/>
        </w:rPr>
        <w:t>Variations of the terms offered can be justified</w:t>
      </w:r>
      <w:r w:rsidR="00D40B57">
        <w:rPr>
          <w:rFonts w:ascii="Arial" w:eastAsia="Arial" w:hAnsi="Arial" w:cs="Arial"/>
        </w:rPr>
        <w:t>,</w:t>
      </w:r>
      <w:r w:rsidRPr="003A54D6">
        <w:rPr>
          <w:rFonts w:ascii="Arial" w:eastAsia="Arial" w:hAnsi="Arial" w:cs="Arial"/>
        </w:rPr>
        <w:t xml:space="preserve"> and in some cases are even necessary</w:t>
      </w:r>
      <w:r w:rsidR="00D40B57">
        <w:rPr>
          <w:rFonts w:ascii="Arial" w:eastAsia="Arial" w:hAnsi="Arial" w:cs="Arial"/>
        </w:rPr>
        <w:t>,</w:t>
      </w:r>
      <w:r w:rsidRPr="003A54D6">
        <w:rPr>
          <w:rFonts w:ascii="Arial" w:eastAsia="Arial" w:hAnsi="Arial" w:cs="Arial"/>
        </w:rPr>
        <w:t xml:space="preserve"> for a co-investment offer or one of / more of its terms to be deemed fair, reasonable and non-discriminatory, but should always be based on the same objective, transparent, non-discriminatory and predictable criteria.</w:t>
      </w:r>
      <w:r w:rsidRPr="003A54D6">
        <w:rPr>
          <w:vertAlign w:val="superscript"/>
          <w:lang w:val="en-GB"/>
        </w:rPr>
        <w:footnoteReference w:id="26"/>
      </w:r>
      <w:r w:rsidRPr="003A54D6">
        <w:rPr>
          <w:rFonts w:ascii="Arial" w:eastAsia="Arial" w:hAnsi="Arial" w:cs="Arial"/>
        </w:rPr>
        <w:t xml:space="preserve"> Most importantly, it could be justified to differentiate the terms of the co-investment offer depending on the level of risk or the share of the total risk carried by different potential co-investors. That means that co-investors committing for different levels of participation or deciding to co-invest at different points in time could justifia</w:t>
      </w:r>
      <w:r w:rsidR="00223319">
        <w:rPr>
          <w:rFonts w:ascii="Arial" w:eastAsia="Arial" w:hAnsi="Arial" w:cs="Arial"/>
        </w:rPr>
        <w:t>bly be offered different terms.</w:t>
      </w:r>
    </w:p>
    <w:p w14:paraId="31BE031E" w14:textId="77777777" w:rsidR="003A54D6" w:rsidRPr="003A54D6" w:rsidRDefault="003A54D6" w:rsidP="00223319">
      <w:pPr>
        <w:pStyle w:val="ListParagraph"/>
        <w:numPr>
          <w:ilvl w:val="0"/>
          <w:numId w:val="47"/>
        </w:numPr>
        <w:spacing w:after="60"/>
        <w:contextualSpacing w:val="0"/>
        <w:rPr>
          <w:rFonts w:ascii="Arial" w:eastAsia="Arial" w:hAnsi="Arial" w:cs="Arial"/>
          <w:lang w:val="en-GB"/>
        </w:rPr>
      </w:pPr>
      <w:r w:rsidRPr="003A54D6">
        <w:rPr>
          <w:rFonts w:ascii="Arial" w:eastAsia="Arial" w:hAnsi="Arial" w:cs="Arial"/>
        </w:rPr>
        <w:lastRenderedPageBreak/>
        <w:t>As a general rule, potential pricing differences between co-investors should be based on the level of risk that is linked to the investment, in a way that there are no incentives for an efficient provider of electronic communications networks and/or services to postpone the decision to enter into the co-investment agreement to a later stage for the sole reason of better terms and conditions.</w:t>
      </w:r>
    </w:p>
    <w:p w14:paraId="618A54B0" w14:textId="77777777" w:rsidR="003A54D6" w:rsidRPr="003A54D6" w:rsidRDefault="003A54D6" w:rsidP="00223319">
      <w:pPr>
        <w:pStyle w:val="ListParagraph"/>
        <w:numPr>
          <w:ilvl w:val="0"/>
          <w:numId w:val="47"/>
        </w:numPr>
        <w:spacing w:after="60"/>
        <w:contextualSpacing w:val="0"/>
        <w:rPr>
          <w:rFonts w:ascii="Arial" w:eastAsia="Arial" w:hAnsi="Arial" w:cs="Arial"/>
          <w:lang w:val="en-GB"/>
        </w:rPr>
      </w:pPr>
      <w:r w:rsidRPr="003A54D6">
        <w:rPr>
          <w:rFonts w:ascii="Arial" w:eastAsia="Arial" w:hAnsi="Arial" w:cs="Arial"/>
        </w:rPr>
        <w:t>Other differentials on pricing may also be justified in certain circumstances. For example, the offer to co-invest should provide undertakings of different sizes and financial capacity with an opportunity to become infrastructure co-investors.</w:t>
      </w:r>
      <w:r w:rsidRPr="003A54D6">
        <w:rPr>
          <w:vertAlign w:val="superscript"/>
          <w:lang w:val="en-GB"/>
        </w:rPr>
        <w:footnoteReference w:id="27"/>
      </w:r>
      <w:r w:rsidRPr="003A54D6">
        <w:rPr>
          <w:rFonts w:ascii="Arial" w:eastAsia="Arial" w:hAnsi="Arial" w:cs="Arial"/>
        </w:rPr>
        <w:t xml:space="preserve"> This condition ensures that smaller undertakings or undertakings with less financial capacity are not discriminated against</w:t>
      </w:r>
      <w:r w:rsidR="00D40B57">
        <w:rPr>
          <w:rFonts w:ascii="Arial" w:eastAsia="Arial" w:hAnsi="Arial" w:cs="Arial"/>
        </w:rPr>
        <w:t>,</w:t>
      </w:r>
      <w:r w:rsidRPr="003A54D6">
        <w:rPr>
          <w:rFonts w:ascii="Arial" w:eastAsia="Arial" w:hAnsi="Arial" w:cs="Arial"/>
        </w:rPr>
        <w:t xml:space="preserve"> nor excluded from participating in the co-investment. However, and with due regard to the principle of non-discrimination, the SMP operator may include certain </w:t>
      </w:r>
      <w:r w:rsidRPr="003A54D6">
        <w:rPr>
          <w:rFonts w:ascii="Arial" w:eastAsia="Arial" w:hAnsi="Arial" w:cs="Arial"/>
          <w:i/>
        </w:rPr>
        <w:t>reasonable</w:t>
      </w:r>
      <w:r w:rsidRPr="003A54D6">
        <w:rPr>
          <w:rFonts w:ascii="Arial" w:eastAsia="Arial" w:hAnsi="Arial" w:cs="Arial"/>
        </w:rPr>
        <w:t xml:space="preserve"> conditions regarding the ability of smaller undertakings to fulfil their commitments.</w:t>
      </w:r>
      <w:r w:rsidRPr="003A54D6">
        <w:rPr>
          <w:vertAlign w:val="superscript"/>
        </w:rPr>
        <w:footnoteReference w:id="28"/>
      </w:r>
      <w:r w:rsidRPr="003A54D6">
        <w:rPr>
          <w:rFonts w:ascii="Arial" w:eastAsia="Arial" w:hAnsi="Arial" w:cs="Arial"/>
        </w:rPr>
        <w:t xml:space="preserve"> Of particular relevance in the context of different undertakings’ financial capacity could be potential terms regarding the level of a minimum share for initial commitment.</w:t>
      </w:r>
      <w:r w:rsidRPr="003A54D6">
        <w:rPr>
          <w:vertAlign w:val="superscript"/>
          <w:lang w:val="en-GB"/>
        </w:rPr>
        <w:footnoteReference w:id="29"/>
      </w:r>
    </w:p>
    <w:p w14:paraId="12DFC606" w14:textId="77777777" w:rsidR="003A54D6" w:rsidRPr="003A54D6" w:rsidRDefault="003A54D6" w:rsidP="00223319">
      <w:pPr>
        <w:pStyle w:val="ListParagraph"/>
        <w:numPr>
          <w:ilvl w:val="0"/>
          <w:numId w:val="47"/>
        </w:numPr>
        <w:spacing w:after="60"/>
        <w:contextualSpacing w:val="0"/>
        <w:rPr>
          <w:rFonts w:ascii="Arial" w:eastAsia="Arial" w:hAnsi="Arial" w:cs="Arial"/>
          <w:lang w:val="en-IE"/>
        </w:rPr>
      </w:pPr>
      <w:r w:rsidRPr="003A54D6">
        <w:rPr>
          <w:rFonts w:ascii="Arial" w:eastAsia="Arial" w:hAnsi="Arial" w:cs="Arial"/>
        </w:rPr>
        <w:t>The co-investment offer could potentially also include terms that allow for changes and adaptations to the offer’s conditions. Such changes could be necessary due to general competitive conditions which the co-investors cannot influence or anticipate in advance. However, these changes would need to be based on the same conditions that the co-investment offer has to comply with, namely fairness, reasonableness and non-discrimination. If the SMP operator and/or other co-investors see the need for such changes, NRAs, alongside all participants in the co-investment project, should be notified in advance so that they would be in a position to appropriately assess the proposed changes before their planned implementation date.</w:t>
      </w:r>
    </w:p>
    <w:p w14:paraId="2DBC7EBE"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In general, co-investment offers should be designed to last over the commercial lifetime of the network as the general intention of co-investment agreements is to pool and share costs and risks of investments in very high capacity networks in the long term. In exceptional cases</w:t>
      </w:r>
      <w:r w:rsidR="002B619D">
        <w:rPr>
          <w:rFonts w:ascii="Arial" w:eastAsia="Arial" w:hAnsi="Arial" w:cs="Arial"/>
        </w:rPr>
        <w:t>,</w:t>
      </w:r>
      <w:r w:rsidRPr="003A54D6">
        <w:rPr>
          <w:rFonts w:ascii="Arial" w:eastAsia="Arial" w:hAnsi="Arial" w:cs="Arial"/>
        </w:rPr>
        <w:t xml:space="preserve"> however, specific circumstances (as for example bankruptcy of one of the co-investors) can make it necessary to terminate the co-investment agreement under fair, reasonable and non-discriminatory conditions. The conditions for such a termination of the co-investment agreement might also reflect the necessity to share given investment and failure risks. In this </w:t>
      </w:r>
      <w:r w:rsidRPr="003A54D6">
        <w:rPr>
          <w:rFonts w:ascii="Arial" w:eastAsia="Arial" w:hAnsi="Arial" w:cs="Arial"/>
        </w:rPr>
        <w:lastRenderedPageBreak/>
        <w:t>respect, all co-investors potentially bear a burden relative to their investment share even in case of a termination of the co-investment.</w:t>
      </w:r>
    </w:p>
    <w:p w14:paraId="3356F918"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Of particular importance for the ability of other co-investors to compete effectively and sustainably in the long term are the co-investment offer’s terms and conditions regarding:</w:t>
      </w:r>
    </w:p>
    <w:p w14:paraId="2A9EDECB" w14:textId="77777777" w:rsidR="003A54D6" w:rsidRPr="003A54D6" w:rsidRDefault="003A54D6" w:rsidP="003A54D6">
      <w:pPr>
        <w:numPr>
          <w:ilvl w:val="1"/>
          <w:numId w:val="42"/>
        </w:numPr>
        <w:tabs>
          <w:tab w:val="left" w:pos="1170"/>
        </w:tabs>
        <w:spacing w:after="0"/>
        <w:ind w:left="1560" w:hanging="426"/>
        <w:rPr>
          <w:rFonts w:ascii="Arial" w:eastAsia="Arial" w:hAnsi="Arial" w:cs="Arial"/>
          <w:b/>
        </w:rPr>
      </w:pPr>
      <w:r w:rsidRPr="003A54D6">
        <w:rPr>
          <w:rFonts w:ascii="Arial" w:eastAsia="Arial" w:hAnsi="Arial" w:cs="Arial"/>
        </w:rPr>
        <w:t>pricing</w:t>
      </w:r>
      <w:r w:rsidRPr="003A54D6">
        <w:rPr>
          <w:rFonts w:ascii="Arial" w:eastAsia="Arial" w:hAnsi="Arial" w:cs="Arial"/>
          <w:b/>
        </w:rPr>
        <w:t xml:space="preserve"> </w:t>
      </w:r>
      <w:r w:rsidRPr="003A54D6">
        <w:rPr>
          <w:rFonts w:ascii="Arial" w:eastAsia="Arial" w:hAnsi="Arial" w:cs="Arial"/>
        </w:rPr>
        <w:t xml:space="preserve">for access to the co-investment; </w:t>
      </w:r>
    </w:p>
    <w:p w14:paraId="2BD5D9C1" w14:textId="77777777" w:rsidR="003A54D6" w:rsidRPr="003A54D6" w:rsidRDefault="003A54D6" w:rsidP="003A54D6">
      <w:pPr>
        <w:numPr>
          <w:ilvl w:val="1"/>
          <w:numId w:val="42"/>
        </w:numPr>
        <w:tabs>
          <w:tab w:val="left" w:pos="1170"/>
        </w:tabs>
        <w:spacing w:after="0"/>
        <w:ind w:left="1560" w:hanging="426"/>
        <w:rPr>
          <w:rFonts w:ascii="Arial" w:eastAsia="Arial" w:hAnsi="Arial" w:cs="Arial"/>
        </w:rPr>
      </w:pPr>
      <w:r w:rsidRPr="003A54D6">
        <w:rPr>
          <w:rFonts w:ascii="Arial" w:eastAsia="Arial" w:hAnsi="Arial" w:cs="Arial"/>
        </w:rPr>
        <w:t xml:space="preserve">its corresponding pricing structure; </w:t>
      </w:r>
    </w:p>
    <w:p w14:paraId="460F89F2" w14:textId="77777777" w:rsidR="003A54D6" w:rsidRPr="003A54D6" w:rsidRDefault="003A54D6" w:rsidP="00223319">
      <w:pPr>
        <w:numPr>
          <w:ilvl w:val="1"/>
          <w:numId w:val="42"/>
        </w:numPr>
        <w:tabs>
          <w:tab w:val="left" w:pos="1170"/>
        </w:tabs>
        <w:spacing w:after="60"/>
        <w:ind w:left="1560" w:hanging="426"/>
        <w:rPr>
          <w:rFonts w:ascii="Arial" w:eastAsia="Arial" w:hAnsi="Arial" w:cs="Arial"/>
        </w:rPr>
      </w:pPr>
      <w:r w:rsidRPr="003A54D6">
        <w:rPr>
          <w:rFonts w:ascii="Arial" w:eastAsia="Arial" w:hAnsi="Arial" w:cs="Arial"/>
        </w:rPr>
        <w:t>granted rights regarding network access (in particular, type and quality of wholesale access) for co-investors.</w:t>
      </w:r>
    </w:p>
    <w:p w14:paraId="5D2BD1AB" w14:textId="26D335AF" w:rsidR="003A54D6" w:rsidRDefault="003A54D6" w:rsidP="003A54D6">
      <w:pPr>
        <w:numPr>
          <w:ilvl w:val="0"/>
          <w:numId w:val="47"/>
        </w:numPr>
        <w:tabs>
          <w:tab w:val="left" w:pos="1170"/>
        </w:tabs>
        <w:contextualSpacing/>
        <w:rPr>
          <w:rFonts w:ascii="Arial" w:eastAsia="Arial" w:hAnsi="Arial" w:cs="Arial"/>
        </w:rPr>
      </w:pPr>
      <w:r w:rsidRPr="003A54D6">
        <w:rPr>
          <w:rFonts w:ascii="Arial" w:eastAsia="Arial" w:hAnsi="Arial" w:cs="Arial"/>
        </w:rPr>
        <w:t>However, these terms, alongside other relevant terms of the co-investment offer, might differ in form and relative importance depending on the specific type of co-investment that the SMP operator offers for others to take part in.</w:t>
      </w:r>
      <w:r w:rsidRPr="003A54D6">
        <w:rPr>
          <w:rFonts w:ascii="Arial" w:eastAsia="Arial" w:hAnsi="Arial" w:cs="Arial"/>
          <w:vertAlign w:val="superscript"/>
        </w:rPr>
        <w:footnoteReference w:id="30"/>
      </w:r>
      <w:r w:rsidRPr="003A54D6">
        <w:rPr>
          <w:rFonts w:ascii="Arial" w:eastAsia="Arial" w:hAnsi="Arial" w:cs="Arial"/>
        </w:rPr>
        <w:t xml:space="preserve"> In the following paragraphs </w:t>
      </w:r>
      <w:r w:rsidR="00654607">
        <w:rPr>
          <w:rFonts w:ascii="Arial" w:eastAsia="Arial" w:hAnsi="Arial" w:cs="Arial"/>
        </w:rPr>
        <w:fldChar w:fldCharType="begin"/>
      </w:r>
      <w:r w:rsidR="00654607">
        <w:rPr>
          <w:rFonts w:ascii="Arial" w:eastAsia="Arial" w:hAnsi="Arial" w:cs="Arial"/>
        </w:rPr>
        <w:instrText xml:space="preserve"> REF _Ref38453402 \r \h </w:instrText>
      </w:r>
      <w:r w:rsidR="00654607">
        <w:rPr>
          <w:rFonts w:ascii="Arial" w:eastAsia="Arial" w:hAnsi="Arial" w:cs="Arial"/>
        </w:rPr>
      </w:r>
      <w:r w:rsidR="00654607">
        <w:rPr>
          <w:rFonts w:ascii="Arial" w:eastAsia="Arial" w:hAnsi="Arial" w:cs="Arial"/>
        </w:rPr>
        <w:fldChar w:fldCharType="separate"/>
      </w:r>
      <w:r w:rsidR="00F645A3">
        <w:rPr>
          <w:rFonts w:ascii="Arial" w:eastAsia="Arial" w:hAnsi="Arial" w:cs="Arial"/>
        </w:rPr>
        <w:t>(69)</w:t>
      </w:r>
      <w:r w:rsidR="00654607">
        <w:rPr>
          <w:rFonts w:ascii="Arial" w:eastAsia="Arial" w:hAnsi="Arial" w:cs="Arial"/>
        </w:rPr>
        <w:fldChar w:fldCharType="end"/>
      </w:r>
      <w:r w:rsidR="00991AEA" w:rsidRPr="00550367">
        <w:rPr>
          <w:rFonts w:ascii="Arial" w:eastAsia="Arial" w:hAnsi="Arial" w:cs="Arial"/>
        </w:rPr>
        <w:t xml:space="preserve"> to </w:t>
      </w:r>
      <w:r w:rsidR="00654607">
        <w:rPr>
          <w:rFonts w:ascii="Arial" w:eastAsia="Arial" w:hAnsi="Arial" w:cs="Arial"/>
        </w:rPr>
        <w:fldChar w:fldCharType="begin"/>
      </w:r>
      <w:r w:rsidR="00654607">
        <w:rPr>
          <w:rFonts w:ascii="Arial" w:eastAsia="Arial" w:hAnsi="Arial" w:cs="Arial"/>
        </w:rPr>
        <w:instrText xml:space="preserve"> REF _Ref38453418 \r \h </w:instrText>
      </w:r>
      <w:r w:rsidR="00654607">
        <w:rPr>
          <w:rFonts w:ascii="Arial" w:eastAsia="Arial" w:hAnsi="Arial" w:cs="Arial"/>
        </w:rPr>
      </w:r>
      <w:r w:rsidR="00654607">
        <w:rPr>
          <w:rFonts w:ascii="Arial" w:eastAsia="Arial" w:hAnsi="Arial" w:cs="Arial"/>
        </w:rPr>
        <w:fldChar w:fldCharType="separate"/>
      </w:r>
      <w:r w:rsidR="00F645A3">
        <w:rPr>
          <w:rFonts w:ascii="Arial" w:eastAsia="Arial" w:hAnsi="Arial" w:cs="Arial"/>
        </w:rPr>
        <w:t>(89)</w:t>
      </w:r>
      <w:r w:rsidR="00654607">
        <w:rPr>
          <w:rFonts w:ascii="Arial" w:eastAsia="Arial" w:hAnsi="Arial" w:cs="Arial"/>
        </w:rPr>
        <w:fldChar w:fldCharType="end"/>
      </w:r>
      <w:r w:rsidRPr="00550367">
        <w:rPr>
          <w:rFonts w:ascii="Arial" w:eastAsia="Arial" w:hAnsi="Arial" w:cs="Arial"/>
        </w:rPr>
        <w:t>,</w:t>
      </w:r>
      <w:r w:rsidRPr="003A54D6">
        <w:rPr>
          <w:rFonts w:ascii="Arial" w:eastAsia="Arial" w:hAnsi="Arial" w:cs="Arial"/>
        </w:rPr>
        <w:t xml:space="preserve"> some of the terms of a co-investment offer are considered more closely in the context of the different co-investment types on the basis of possible shapes each of these co-investment types could present itself. However, the scenarios that are described for the different types are only illustrative examples. As such, they do not exclude the possibility that co-investment models are set up differently and nevertheless potentially fulfil the conditions for </w:t>
      </w:r>
      <w:r w:rsidR="00046EDD">
        <w:rPr>
          <w:rFonts w:ascii="Arial" w:eastAsia="Arial" w:hAnsi="Arial" w:cs="Arial"/>
        </w:rPr>
        <w:t>Article</w:t>
      </w:r>
      <w:r w:rsidRPr="003A54D6">
        <w:rPr>
          <w:rFonts w:ascii="Arial" w:eastAsia="Arial" w:hAnsi="Arial" w:cs="Arial"/>
        </w:rPr>
        <w:t> 76 in general or the principle of fair, reasonable and non-discriminatory terms more specifically.</w:t>
      </w:r>
    </w:p>
    <w:p w14:paraId="75177545" w14:textId="77777777" w:rsidR="003A54D6" w:rsidRPr="003A54D6" w:rsidRDefault="003A54D6" w:rsidP="003A54D6">
      <w:pPr>
        <w:tabs>
          <w:tab w:val="left" w:pos="1170"/>
        </w:tabs>
        <w:ind w:left="720"/>
        <w:contextualSpacing/>
        <w:rPr>
          <w:rFonts w:ascii="Arial" w:eastAsia="Arial" w:hAnsi="Arial" w:cs="Arial"/>
        </w:rPr>
      </w:pPr>
    </w:p>
    <w:p w14:paraId="1FFAC457" w14:textId="77777777" w:rsidR="003A54D6" w:rsidRPr="002510B0" w:rsidRDefault="003A54D6" w:rsidP="002510B0">
      <w:pPr>
        <w:keepNext/>
        <w:keepLines/>
        <w:numPr>
          <w:ilvl w:val="4"/>
          <w:numId w:val="22"/>
        </w:numPr>
        <w:spacing w:before="40" w:after="120"/>
        <w:outlineLvl w:val="3"/>
        <w:rPr>
          <w:rFonts w:ascii="Arial" w:eastAsia="Times New Roman" w:hAnsi="Arial" w:cs="Times New Roman"/>
          <w:iCs/>
          <w:color w:val="000000"/>
          <w:lang w:val="en-GB"/>
        </w:rPr>
      </w:pPr>
      <w:bookmarkStart w:id="125" w:name="_Toc24096926"/>
      <w:bookmarkStart w:id="126" w:name="_Toc31190830"/>
      <w:bookmarkStart w:id="127" w:name="_Toc24112038"/>
      <w:bookmarkStart w:id="128" w:name="_Toc36816369"/>
      <w:bookmarkStart w:id="129" w:name="_Toc36030375"/>
      <w:bookmarkStart w:id="130" w:name="_Toc38464086"/>
      <w:r w:rsidRPr="002510B0">
        <w:rPr>
          <w:rFonts w:ascii="Arial" w:eastAsia="Arial" w:hAnsi="Arial" w:cs="Times New Roman"/>
          <w:iCs/>
          <w:color w:val="000000"/>
          <w:lang w:val="en-GB"/>
        </w:rPr>
        <w:t>Joint-venture models</w:t>
      </w:r>
      <w:bookmarkEnd w:id="125"/>
      <w:bookmarkEnd w:id="126"/>
      <w:bookmarkEnd w:id="127"/>
      <w:bookmarkEnd w:id="128"/>
      <w:bookmarkEnd w:id="129"/>
      <w:bookmarkEnd w:id="130"/>
    </w:p>
    <w:p w14:paraId="724B0336" w14:textId="77777777" w:rsidR="003A54D6" w:rsidRPr="003A54D6" w:rsidRDefault="003A54D6" w:rsidP="00223319">
      <w:pPr>
        <w:pStyle w:val="ListParagraph"/>
        <w:numPr>
          <w:ilvl w:val="0"/>
          <w:numId w:val="47"/>
        </w:numPr>
        <w:spacing w:after="60"/>
        <w:contextualSpacing w:val="0"/>
        <w:rPr>
          <w:rFonts w:ascii="Arial" w:eastAsia="Arial" w:hAnsi="Arial" w:cs="Arial"/>
        </w:rPr>
      </w:pPr>
      <w:bookmarkStart w:id="131" w:name="_Ref38453402"/>
      <w:bookmarkStart w:id="132" w:name="_Ref23877447"/>
      <w:r w:rsidRPr="003A54D6">
        <w:rPr>
          <w:rFonts w:ascii="Arial" w:eastAsia="Arial" w:hAnsi="Arial" w:cs="Arial"/>
        </w:rPr>
        <w:t>As a co-investment vehicle, a joint venture should grant all co-investors access to the network on an equivalence of input basis.</w:t>
      </w:r>
      <w:r w:rsidRPr="003A54D6">
        <w:rPr>
          <w:rFonts w:ascii="Arial" w:eastAsia="Arial" w:hAnsi="Arial" w:cs="Arial"/>
          <w:vertAlign w:val="superscript"/>
        </w:rPr>
        <w:footnoteReference w:id="31"/>
      </w:r>
      <w:r w:rsidRPr="003A54D6">
        <w:rPr>
          <w:rFonts w:ascii="Arial" w:eastAsia="Arial" w:hAnsi="Arial" w:cs="Arial"/>
        </w:rPr>
        <w:t xml:space="preserve"> Thus, with their participation, all co-investors have access to the joint venture’s infrastructure and can supply users on the basis of the same (or similar) wholesale conditions. For this reason and due to the fact that the joint venture’s profits (e.g. generated by wholesale revenue) are usually distributed to the co-investors according to their respective stakes, the risk that the SMP operator can discriminate against other co-investors based on the level of the access conditions included in the offer is rather low.</w:t>
      </w:r>
      <w:bookmarkEnd w:id="131"/>
      <w:r w:rsidRPr="003A54D6" w:rsidDel="000B28A0">
        <w:rPr>
          <w:rFonts w:ascii="Arial" w:eastAsia="Arial" w:hAnsi="Arial" w:cs="Arial"/>
        </w:rPr>
        <w:t xml:space="preserve"> </w:t>
      </w:r>
      <w:bookmarkEnd w:id="132"/>
    </w:p>
    <w:p w14:paraId="42C72501"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As all co-investors are directly involved in the joint venture by holding shares and thus in most cases also participate in the decision-making process, such agreements generally have a relatively high degree of in-built structural character. Therefore, rights awarded to other co-investors will usually be the same or will be very similar to the corresponding rights the SMP operator holds in relation to the joint venture.</w:t>
      </w:r>
      <w:r w:rsidRPr="003A54D6">
        <w:rPr>
          <w:rFonts w:ascii="Arial" w:eastAsia="Arial" w:hAnsi="Arial" w:cs="Arial"/>
          <w:vertAlign w:val="superscript"/>
        </w:rPr>
        <w:footnoteReference w:id="32"/>
      </w:r>
      <w:r w:rsidRPr="003A54D6">
        <w:rPr>
          <w:rFonts w:ascii="Arial" w:eastAsia="Arial" w:hAnsi="Arial" w:cs="Arial"/>
        </w:rPr>
        <w:t xml:space="preserve"> This bargaining power that co-investors enjoy due to the certain degree of ownership further reduces the scope for unfair, unreasonable or discriminatory conditions implemented by the SMP operator. </w:t>
      </w:r>
    </w:p>
    <w:p w14:paraId="6CE370E6" w14:textId="77777777" w:rsidR="003A54D6" w:rsidRPr="003A54D6" w:rsidRDefault="003A54D6" w:rsidP="00223319">
      <w:pPr>
        <w:pStyle w:val="ListParagraph"/>
        <w:numPr>
          <w:ilvl w:val="0"/>
          <w:numId w:val="47"/>
        </w:numPr>
        <w:spacing w:after="60"/>
        <w:contextualSpacing w:val="0"/>
        <w:rPr>
          <w:rFonts w:ascii="Arial" w:eastAsia="Arial" w:hAnsi="Arial" w:cs="Arial"/>
          <w:lang w:val="en-GB"/>
        </w:rPr>
      </w:pPr>
      <w:r w:rsidRPr="003A54D6">
        <w:rPr>
          <w:rFonts w:ascii="Arial" w:eastAsia="Arial" w:hAnsi="Arial" w:cs="Arial"/>
        </w:rPr>
        <w:t>In case co-investors enter the co-investment at the same time and bear the same level of risk, they should enjoy the same terms.</w:t>
      </w:r>
      <w:r w:rsidR="001B7388">
        <w:rPr>
          <w:rFonts w:ascii="Arial" w:eastAsia="Arial" w:hAnsi="Arial" w:cs="Arial"/>
        </w:rPr>
        <w:t xml:space="preserve"> </w:t>
      </w:r>
      <w:r w:rsidRPr="003A54D6">
        <w:rPr>
          <w:rFonts w:ascii="Arial" w:eastAsia="Arial" w:hAnsi="Arial" w:cs="Arial"/>
        </w:rPr>
        <w:t>However, co-investors in a joint venture may commit for different levels of participation or may decide to co-invest at different points in time.</w:t>
      </w:r>
      <w:r w:rsidR="001B7388">
        <w:rPr>
          <w:rFonts w:ascii="Arial" w:eastAsia="Arial" w:hAnsi="Arial" w:cs="Arial"/>
        </w:rPr>
        <w:t xml:space="preserve"> </w:t>
      </w:r>
      <w:r w:rsidRPr="003A54D6">
        <w:rPr>
          <w:rFonts w:ascii="Arial" w:eastAsia="Arial" w:hAnsi="Arial" w:cs="Arial"/>
        </w:rPr>
        <w:t xml:space="preserve">To this effect, if the terms differ between co-investors, NRAs should evaluate the rationale for these differences which could be justifiable. </w:t>
      </w:r>
    </w:p>
    <w:p w14:paraId="6C6F2A14" w14:textId="38E585E4" w:rsidR="003A54D6" w:rsidRPr="003A54D6" w:rsidRDefault="003A54D6" w:rsidP="009A3A04">
      <w:pPr>
        <w:numPr>
          <w:ilvl w:val="0"/>
          <w:numId w:val="47"/>
        </w:numPr>
        <w:tabs>
          <w:tab w:val="left" w:pos="1170"/>
        </w:tabs>
        <w:contextualSpacing/>
        <w:rPr>
          <w:rFonts w:ascii="Arial" w:eastAsia="Arial" w:hAnsi="Arial" w:cs="Arial"/>
        </w:rPr>
      </w:pPr>
      <w:r w:rsidRPr="003A54D6">
        <w:rPr>
          <w:rFonts w:ascii="Arial" w:eastAsia="Arial" w:hAnsi="Arial" w:cs="Arial"/>
        </w:rPr>
        <w:lastRenderedPageBreak/>
        <w:t xml:space="preserve">As discussed in section </w:t>
      </w:r>
      <w:r w:rsidR="00654607" w:rsidRPr="00F5702D">
        <w:rPr>
          <w:rFonts w:ascii="Arial" w:eastAsia="Arial" w:hAnsi="Arial" w:cs="Arial"/>
        </w:rPr>
        <w:fldChar w:fldCharType="begin"/>
      </w:r>
      <w:r w:rsidR="00654607" w:rsidRPr="00F5702D">
        <w:rPr>
          <w:rFonts w:ascii="Arial" w:eastAsia="Arial" w:hAnsi="Arial" w:cs="Arial"/>
        </w:rPr>
        <w:instrText xml:space="preserve"> REF _Ref38453523 \r \h </w:instrText>
      </w:r>
      <w:r w:rsidR="00F5702D">
        <w:rPr>
          <w:rFonts w:ascii="Arial" w:eastAsia="Arial" w:hAnsi="Arial" w:cs="Arial"/>
        </w:rPr>
        <w:instrText xml:space="preserve"> \* MERGEFORMAT </w:instrText>
      </w:r>
      <w:r w:rsidR="00654607" w:rsidRPr="00F5702D">
        <w:rPr>
          <w:rFonts w:ascii="Arial" w:eastAsia="Arial" w:hAnsi="Arial" w:cs="Arial"/>
        </w:rPr>
      </w:r>
      <w:r w:rsidR="00654607" w:rsidRPr="00F5702D">
        <w:rPr>
          <w:rFonts w:ascii="Arial" w:eastAsia="Arial" w:hAnsi="Arial" w:cs="Arial"/>
        </w:rPr>
        <w:fldChar w:fldCharType="separate"/>
      </w:r>
      <w:r w:rsidR="00F645A3">
        <w:rPr>
          <w:rFonts w:ascii="Arial" w:eastAsia="Arial" w:hAnsi="Arial" w:cs="Arial"/>
        </w:rPr>
        <w:t>3.2.1.1</w:t>
      </w:r>
      <w:r w:rsidR="00654607" w:rsidRPr="00F5702D">
        <w:rPr>
          <w:rFonts w:ascii="Arial" w:eastAsia="Arial" w:hAnsi="Arial" w:cs="Arial"/>
        </w:rPr>
        <w:fldChar w:fldCharType="end"/>
      </w:r>
      <w:r w:rsidRPr="003A54D6">
        <w:rPr>
          <w:rFonts w:ascii="Arial" w:eastAsia="Arial" w:hAnsi="Arial" w:cs="Arial"/>
        </w:rPr>
        <w:t xml:space="preserve"> </w:t>
      </w:r>
      <w:r w:rsidRPr="003A54D6">
        <w:rPr>
          <w:rFonts w:ascii="Arial" w:eastAsia="Arial" w:hAnsi="Arial" w:cs="Arial"/>
          <w:lang w:val="en-IE"/>
        </w:rPr>
        <w:t>it might be reasonable for the co-investment offer not to guarantee a late entry into the joint-venture after a certain time. Thus, any such condition in the offer may well be fair, reasonable and non-discriminatory. However, in such a case, an additional mechanism has to be put in place which ensures the effective openness of the co-investment offer as a whole, e.g. by additionally granting access to the co-investment based on the one-way access model.</w:t>
      </w:r>
    </w:p>
    <w:p w14:paraId="7FAE2B49" w14:textId="77777777" w:rsidR="003A54D6" w:rsidRPr="003A54D6" w:rsidRDefault="003A54D6" w:rsidP="003A54D6">
      <w:pPr>
        <w:tabs>
          <w:tab w:val="left" w:pos="1170"/>
        </w:tabs>
        <w:spacing w:after="240"/>
        <w:ind w:left="720"/>
        <w:contextualSpacing/>
        <w:rPr>
          <w:rFonts w:ascii="Arial" w:eastAsia="Arial" w:hAnsi="Arial" w:cs="Arial"/>
        </w:rPr>
      </w:pPr>
    </w:p>
    <w:p w14:paraId="57BF909F" w14:textId="77777777" w:rsidR="003A54D6" w:rsidRPr="002510B0" w:rsidRDefault="003A54D6" w:rsidP="002510B0">
      <w:pPr>
        <w:keepNext/>
        <w:keepLines/>
        <w:numPr>
          <w:ilvl w:val="4"/>
          <w:numId w:val="22"/>
        </w:numPr>
        <w:spacing w:after="120"/>
        <w:outlineLvl w:val="3"/>
        <w:rPr>
          <w:rFonts w:ascii="Arial" w:eastAsia="Arial" w:hAnsi="Arial" w:cs="Times New Roman"/>
          <w:iCs/>
          <w:color w:val="000000"/>
          <w:lang w:val="en-GB"/>
        </w:rPr>
      </w:pPr>
      <w:bookmarkStart w:id="133" w:name="_Toc24096927"/>
      <w:bookmarkStart w:id="134" w:name="_Toc31190831"/>
      <w:bookmarkStart w:id="135" w:name="_Toc24112039"/>
      <w:bookmarkStart w:id="136" w:name="_Toc36816370"/>
      <w:bookmarkStart w:id="137" w:name="_Toc36030376"/>
      <w:bookmarkStart w:id="138" w:name="_Toc38464087"/>
      <w:r w:rsidRPr="002510B0">
        <w:rPr>
          <w:rFonts w:ascii="Arial" w:eastAsia="Arial" w:hAnsi="Arial" w:cs="Times New Roman"/>
          <w:iCs/>
          <w:color w:val="000000"/>
          <w:lang w:val="en-GB"/>
        </w:rPr>
        <w:t>Reciprocal access models</w:t>
      </w:r>
      <w:bookmarkEnd w:id="133"/>
      <w:bookmarkEnd w:id="134"/>
      <w:bookmarkEnd w:id="135"/>
      <w:bookmarkEnd w:id="136"/>
      <w:bookmarkEnd w:id="137"/>
      <w:bookmarkEnd w:id="138"/>
    </w:p>
    <w:p w14:paraId="6B1BFC66"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As already set out, co-investors, to a certain degree, own (parts of) the network. As all co-investors are supposed to offer each other reciprocal access on reasonable terms and conditions, such agreements imply a high degree of structural character. Rights awarded to co-investors will be the same or will be similar to the rights of the SMP operator.</w:t>
      </w:r>
      <w:r w:rsidRPr="003A54D6">
        <w:rPr>
          <w:rFonts w:ascii="Arial" w:eastAsia="Arial" w:hAnsi="Arial" w:cs="Arial"/>
          <w:vertAlign w:val="superscript"/>
        </w:rPr>
        <w:footnoteReference w:id="33"/>
      </w:r>
      <w:r w:rsidRPr="003A54D6">
        <w:rPr>
          <w:rFonts w:ascii="Arial" w:eastAsia="Arial" w:hAnsi="Arial" w:cs="Arial"/>
        </w:rPr>
        <w:t xml:space="preserve"> Accordingly, the degree of co-determination (e.g. regarding wholesale products, their pricing and their characteristics) should be relatively high.</w:t>
      </w:r>
    </w:p>
    <w:p w14:paraId="2BAED0B0"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 xml:space="preserve">Regarding reciprocal access models, two cases can be distinguished: Either, the level of risk </w:t>
      </w:r>
      <w:r w:rsidR="00A12B19">
        <w:rPr>
          <w:rFonts w:ascii="Arial" w:eastAsia="Arial" w:hAnsi="Arial" w:cs="Arial"/>
        </w:rPr>
        <w:t xml:space="preserve">that </w:t>
      </w:r>
      <w:r w:rsidRPr="003A54D6">
        <w:rPr>
          <w:rFonts w:ascii="Arial" w:eastAsia="Arial" w:hAnsi="Arial" w:cs="Arial"/>
        </w:rPr>
        <w:t xml:space="preserve">each co-investor bears differs or the level of risk </w:t>
      </w:r>
      <w:r w:rsidR="00A12B19">
        <w:rPr>
          <w:rFonts w:ascii="Arial" w:eastAsia="Arial" w:hAnsi="Arial" w:cs="Arial"/>
        </w:rPr>
        <w:t xml:space="preserve">that </w:t>
      </w:r>
      <w:r w:rsidRPr="003A54D6">
        <w:rPr>
          <w:rFonts w:ascii="Arial" w:eastAsia="Arial" w:hAnsi="Arial" w:cs="Arial"/>
        </w:rPr>
        <w:t xml:space="preserve">each co-investor bears is – less likely however – identical. In both cases, when assessing whether the terms of the offer are fair, reasonable and non-discriminatory NRAs should evaluate if the rationale for possible differences in access conditions is based on economic grounds. </w:t>
      </w:r>
    </w:p>
    <w:p w14:paraId="6C88BEAF"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In the first case, the level of risk co-investors bear differs, e.g. because some co-investors face higher deployment costs per household in less densely populated areas, they are connecting more households or they face greater uncertainty when entering the co-investment at earlier stages than others. In such a scenario, it might be fair, reasonable and non-discriminatory, if the co-investment offer includes differing conditions to be able to compensate co-investors bearing more risk. A compensation can relate to all aspects of the agreement including its financial terms or the awarded rights. Most likely, compensation will either be upfront or recurring payments, as well as higher wholesale prices for access. In such cases, the assessment of the rationale for the compensation is likely to be a central aspect when determining whether the terms are fair, reasonable and non-discriminatory.</w:t>
      </w:r>
    </w:p>
    <w:p w14:paraId="55083C1B"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 xml:space="preserve">In a perfectly symmetric setting, where all co-investors face the same deployment costs per household, connect the same number of households, enter the co-investment at the same time and thus bear the same level of risk, access conditions are less likely to differ. In such a case, co-investors will usually grant each other access on the </w:t>
      </w:r>
      <w:r w:rsidRPr="003A54D6">
        <w:rPr>
          <w:rFonts w:ascii="Arial" w:eastAsia="Arial" w:hAnsi="Arial" w:cs="Arial"/>
          <w:i/>
        </w:rPr>
        <w:t>same</w:t>
      </w:r>
      <w:r w:rsidRPr="003A54D6">
        <w:rPr>
          <w:rFonts w:ascii="Arial" w:eastAsia="Arial" w:hAnsi="Arial" w:cs="Arial"/>
        </w:rPr>
        <w:t xml:space="preserve"> terms, in particular regarding granted rights, type and quality of wholesale access and its pricing.</w:t>
      </w:r>
      <w:r w:rsidRPr="003A54D6">
        <w:rPr>
          <w:rFonts w:ascii="Arial" w:eastAsia="Arial" w:hAnsi="Arial" w:cs="Arial"/>
          <w:vertAlign w:val="superscript"/>
        </w:rPr>
        <w:footnoteReference w:id="34"/>
      </w:r>
      <w:r w:rsidRPr="003A54D6">
        <w:rPr>
          <w:rFonts w:ascii="Arial" w:eastAsia="Arial" w:hAnsi="Arial" w:cs="Arial"/>
        </w:rPr>
        <w:t xml:space="preserve"> However, if the terms and conditions differ between co-investors, NRAs should evaluate the rationale for these differences, as is the case, as previously described, in a non-symmetrical setup.</w:t>
      </w:r>
    </w:p>
    <w:p w14:paraId="37F6AD74" w14:textId="4CA17C2D" w:rsidR="003A54D6" w:rsidRDefault="003A54D6" w:rsidP="009A3A04">
      <w:pPr>
        <w:numPr>
          <w:ilvl w:val="0"/>
          <w:numId w:val="47"/>
        </w:numPr>
        <w:tabs>
          <w:tab w:val="left" w:pos="1170"/>
        </w:tabs>
        <w:contextualSpacing/>
        <w:rPr>
          <w:rFonts w:ascii="Arial" w:eastAsia="Arial" w:hAnsi="Arial" w:cs="Arial"/>
        </w:rPr>
      </w:pPr>
      <w:r w:rsidRPr="003A54D6">
        <w:rPr>
          <w:rFonts w:ascii="Arial" w:eastAsia="Arial" w:hAnsi="Arial" w:cs="Arial"/>
        </w:rPr>
        <w:lastRenderedPageBreak/>
        <w:t xml:space="preserve">As discussed in section </w:t>
      </w:r>
      <w:r w:rsidR="00654607">
        <w:rPr>
          <w:rFonts w:ascii="Arial" w:eastAsia="Arial" w:hAnsi="Arial" w:cs="Arial"/>
        </w:rPr>
        <w:fldChar w:fldCharType="begin"/>
      </w:r>
      <w:r w:rsidR="00654607">
        <w:rPr>
          <w:rFonts w:ascii="Arial" w:eastAsia="Arial" w:hAnsi="Arial" w:cs="Arial"/>
        </w:rPr>
        <w:instrText xml:space="preserve"> REF _Ref38453577 \r \h </w:instrText>
      </w:r>
      <w:r w:rsidR="00654607">
        <w:rPr>
          <w:rFonts w:ascii="Arial" w:eastAsia="Arial" w:hAnsi="Arial" w:cs="Arial"/>
        </w:rPr>
      </w:r>
      <w:r w:rsidR="00654607">
        <w:rPr>
          <w:rFonts w:ascii="Arial" w:eastAsia="Arial" w:hAnsi="Arial" w:cs="Arial"/>
        </w:rPr>
        <w:fldChar w:fldCharType="separate"/>
      </w:r>
      <w:r w:rsidR="00F645A3">
        <w:rPr>
          <w:rFonts w:ascii="Arial" w:eastAsia="Arial" w:hAnsi="Arial" w:cs="Arial"/>
        </w:rPr>
        <w:t>3.2.1.2</w:t>
      </w:r>
      <w:r w:rsidR="00654607">
        <w:rPr>
          <w:rFonts w:ascii="Arial" w:eastAsia="Arial" w:hAnsi="Arial" w:cs="Arial"/>
        </w:rPr>
        <w:fldChar w:fldCharType="end"/>
      </w:r>
      <w:r w:rsidR="00F5702D">
        <w:rPr>
          <w:rFonts w:ascii="Arial" w:eastAsia="Arial" w:hAnsi="Arial" w:cs="Arial"/>
        </w:rPr>
        <w:t xml:space="preserve">, </w:t>
      </w:r>
      <w:r w:rsidRPr="003A54D6">
        <w:rPr>
          <w:rFonts w:ascii="Arial" w:eastAsia="Arial" w:hAnsi="Arial" w:cs="Arial"/>
        </w:rPr>
        <w:t>it might be reasonable for the co-investment offer not to guarantee a late entry in a reciprocal access model after a certain time. Thus, any such condition in the offer may well be fair, reasonable and non-discriminatory. However, in such a case, an additional mechanism has to be put in place which ensures the effective openness of the co-investment offer as a whole</w:t>
      </w:r>
      <w:r w:rsidRPr="003A54D6">
        <w:rPr>
          <w:rFonts w:ascii="Arial" w:eastAsia="Arial" w:hAnsi="Arial" w:cs="Arial"/>
          <w:lang w:val="en-IE"/>
        </w:rPr>
        <w:t>, e.g. by additionally granting access to the co-investment based on the one-way access model</w:t>
      </w:r>
      <w:r w:rsidRPr="003A54D6">
        <w:rPr>
          <w:rFonts w:ascii="Arial" w:eastAsia="Arial" w:hAnsi="Arial" w:cs="Arial"/>
        </w:rPr>
        <w:t>.</w:t>
      </w:r>
    </w:p>
    <w:p w14:paraId="0D690639" w14:textId="77777777" w:rsidR="00991AEA" w:rsidRPr="003A54D6" w:rsidRDefault="00991AEA" w:rsidP="00991AEA">
      <w:pPr>
        <w:tabs>
          <w:tab w:val="left" w:pos="1170"/>
        </w:tabs>
        <w:spacing w:after="240"/>
        <w:ind w:left="720"/>
        <w:contextualSpacing/>
        <w:rPr>
          <w:rFonts w:ascii="Arial" w:eastAsia="Arial" w:hAnsi="Arial" w:cs="Arial"/>
        </w:rPr>
      </w:pPr>
    </w:p>
    <w:p w14:paraId="11206C56" w14:textId="77777777" w:rsidR="003A54D6" w:rsidRPr="002510B0" w:rsidRDefault="003A54D6" w:rsidP="002510B0">
      <w:pPr>
        <w:keepNext/>
        <w:keepLines/>
        <w:numPr>
          <w:ilvl w:val="4"/>
          <w:numId w:val="22"/>
        </w:numPr>
        <w:spacing w:before="40" w:after="120"/>
        <w:outlineLvl w:val="3"/>
        <w:rPr>
          <w:rFonts w:ascii="Arial" w:eastAsia="Arial" w:hAnsi="Arial" w:cs="Times New Roman"/>
          <w:iCs/>
          <w:color w:val="000000"/>
          <w:lang w:val="en-GB"/>
        </w:rPr>
      </w:pPr>
      <w:bookmarkStart w:id="139" w:name="_Toc24096928"/>
      <w:bookmarkStart w:id="140" w:name="_Toc31190832"/>
      <w:bookmarkStart w:id="141" w:name="_Toc24112040"/>
      <w:bookmarkStart w:id="142" w:name="_Toc36816371"/>
      <w:bookmarkStart w:id="143" w:name="_Toc36030377"/>
      <w:bookmarkStart w:id="144" w:name="_Toc38464088"/>
      <w:r w:rsidRPr="002510B0">
        <w:rPr>
          <w:rFonts w:ascii="Arial" w:eastAsia="Arial" w:hAnsi="Arial" w:cs="Times New Roman"/>
          <w:iCs/>
          <w:color w:val="000000"/>
          <w:lang w:val="en-GB"/>
        </w:rPr>
        <w:t>One-way access models</w:t>
      </w:r>
      <w:bookmarkEnd w:id="139"/>
      <w:bookmarkEnd w:id="140"/>
      <w:bookmarkEnd w:id="141"/>
      <w:bookmarkEnd w:id="142"/>
      <w:bookmarkEnd w:id="143"/>
      <w:bookmarkEnd w:id="144"/>
    </w:p>
    <w:p w14:paraId="23E8D87D"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Compared to joint-venture and reciprocal access models, which by themselves involve a certain degree of co-ownership, the level of structural rights co-investors enjoy in one-way access models might be lower.</w:t>
      </w:r>
      <w:r w:rsidRPr="003A54D6">
        <w:rPr>
          <w:rFonts w:ascii="Arial" w:eastAsia="Arial" w:hAnsi="Arial" w:cs="Arial"/>
          <w:vertAlign w:val="superscript"/>
        </w:rPr>
        <w:footnoteReference w:id="35"/>
      </w:r>
      <w:r w:rsidRPr="003A54D6">
        <w:rPr>
          <w:rFonts w:ascii="Arial" w:eastAsia="Arial" w:hAnsi="Arial" w:cs="Arial"/>
        </w:rPr>
        <w:t xml:space="preserve"> Therefore, in some cases there might be a higher risk that the SMP operator can use this potential imbalance to include terms in the co-investment offer that are unfair, unreasonable or discriminatory. However, by implementing specific provisions (e.g. access based on IRUs) one-way access models can generally fulfil the requirement of fair, reasonable and non-discriminatory terms. In this regard, the following paragraphs go into more detail on potential requirements for the co-investment offer’s terms. </w:t>
      </w:r>
    </w:p>
    <w:p w14:paraId="36C6048F"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The assessment of the co-investment offer’s financial terms is of particular importance in the case of one-way access models in order to ensure that co-investors are able to compete effectively and sustainably in the long term. The financial terms are mainly determined by the effective wholesale prices that co-investors have to pay to supply end users using the SMP operator’s network. These prices usually consist of recurring payments per end user connected, but regularly also include upfront payments that are linked to the level of the respective commitment a co-investor is making.</w:t>
      </w:r>
    </w:p>
    <w:p w14:paraId="65A9B0EC"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Compared to joint-venture and reciprocal access models, one-way access models are more flexible regarding the potential for late entry of additional co-investors or regarding the potential to increase the participation of an existing co-investor. Those variations usually imply differences in the level of risk borne by the respective co-investor. Therefore, the co-investment offer might include conditions that differentiate wholesale prices depending e.g. at which point in time co-investors make a commitment or on the level of commitment co-investors make.</w:t>
      </w:r>
      <w:r w:rsidRPr="003A54D6">
        <w:rPr>
          <w:rFonts w:ascii="Arial" w:eastAsia="Arial" w:hAnsi="Arial" w:cs="Arial"/>
          <w:vertAlign w:val="superscript"/>
        </w:rPr>
        <w:footnoteReference w:id="36"/>
      </w:r>
    </w:p>
    <w:p w14:paraId="39F538CF" w14:textId="774B5DCA"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lastRenderedPageBreak/>
        <w:t>Especially in one-way access models, the type of wholesale access to the network that is being granted to other co-investors as well as the quality of the wholesale access are of particular importance. There can be circumstances where potential co-investors would need a specific type of wholesale access (e.g. passive access products like unbundled</w:t>
      </w:r>
      <w:r w:rsidRPr="001A2DB6">
        <w:rPr>
          <w:rFonts w:ascii="Arial" w:eastAsia="Arial" w:hAnsi="Arial" w:cs="Arial"/>
          <w:lang w:val="en-GB"/>
        </w:rPr>
        <w:t xml:space="preserve"> fibre</w:t>
      </w:r>
      <w:r w:rsidRPr="003A54D6">
        <w:rPr>
          <w:rFonts w:ascii="Arial" w:eastAsia="Arial" w:hAnsi="Arial" w:cs="Arial"/>
        </w:rPr>
        <w:t xml:space="preserve"> access) to compete effectively and sustainably in the long term in downstream markets in which the SMP operator is active. Therefore, if the set of access products is limited by the SMP operator, NRAs have to assess whether additional wholesale products need to be included in the co-investment offer or whether changes to the quality of access are necessary.</w:t>
      </w:r>
      <w:r w:rsidRPr="003A54D6">
        <w:rPr>
          <w:rFonts w:ascii="Arial" w:eastAsia="Arial" w:hAnsi="Arial" w:cs="Arial"/>
          <w:vertAlign w:val="superscript"/>
        </w:rPr>
        <w:footnoteReference w:id="37"/>
      </w:r>
    </w:p>
    <w:p w14:paraId="0F912655" w14:textId="77777777" w:rsidR="003A54D6" w:rsidRDefault="003A54D6" w:rsidP="003A54D6">
      <w:pPr>
        <w:numPr>
          <w:ilvl w:val="0"/>
          <w:numId w:val="47"/>
        </w:numPr>
        <w:tabs>
          <w:tab w:val="left" w:pos="1170"/>
        </w:tabs>
        <w:contextualSpacing/>
        <w:rPr>
          <w:rFonts w:ascii="Arial" w:eastAsia="Arial" w:hAnsi="Arial" w:cs="Arial"/>
        </w:rPr>
      </w:pPr>
      <w:r w:rsidRPr="003A54D6">
        <w:rPr>
          <w:rFonts w:ascii="Arial" w:eastAsia="Arial" w:hAnsi="Arial" w:cs="Arial"/>
        </w:rPr>
        <w:t>In this context, different wholesale or participation prices could be justified for different forms of wholesale access to the network (e.g. active and passive access products). In general, wholesale products higher up the value chain – meaning products where the SMP operator creates more value added (e.g. Layer 3 bitstream access products) – will generally bear higher prices because of the higher value added.</w:t>
      </w:r>
    </w:p>
    <w:p w14:paraId="4E784925" w14:textId="77777777" w:rsidR="00991AEA" w:rsidRPr="003A54D6" w:rsidRDefault="00991AEA" w:rsidP="00991AEA">
      <w:pPr>
        <w:tabs>
          <w:tab w:val="left" w:pos="1170"/>
        </w:tabs>
        <w:ind w:left="720"/>
        <w:contextualSpacing/>
        <w:rPr>
          <w:rFonts w:ascii="Arial" w:eastAsia="Arial" w:hAnsi="Arial" w:cs="Arial"/>
        </w:rPr>
      </w:pPr>
    </w:p>
    <w:p w14:paraId="779AE81B" w14:textId="77777777" w:rsidR="003A54D6" w:rsidRPr="002510B0" w:rsidRDefault="003A54D6" w:rsidP="002510B0">
      <w:pPr>
        <w:keepNext/>
        <w:keepLines/>
        <w:numPr>
          <w:ilvl w:val="4"/>
          <w:numId w:val="22"/>
        </w:numPr>
        <w:spacing w:before="40" w:after="120"/>
        <w:outlineLvl w:val="3"/>
        <w:rPr>
          <w:rFonts w:ascii="Arial" w:eastAsia="Times New Roman" w:hAnsi="Arial" w:cs="Times New Roman"/>
          <w:iCs/>
          <w:color w:val="000000"/>
          <w:lang w:val="en-GB"/>
        </w:rPr>
      </w:pPr>
      <w:bookmarkStart w:id="145" w:name="_Toc24096929"/>
      <w:bookmarkStart w:id="146" w:name="_Toc31190833"/>
      <w:bookmarkStart w:id="147" w:name="_Toc24112041"/>
      <w:bookmarkStart w:id="148" w:name="_Toc36816372"/>
      <w:bookmarkStart w:id="149" w:name="_Toc36030378"/>
      <w:bookmarkStart w:id="150" w:name="_Toc38464089"/>
      <w:r w:rsidRPr="002510B0">
        <w:rPr>
          <w:rFonts w:ascii="Arial" w:eastAsia="Arial" w:hAnsi="Arial" w:cs="Times New Roman"/>
          <w:iCs/>
          <w:color w:val="000000"/>
          <w:lang w:val="en-GB"/>
        </w:rPr>
        <w:t>Mixed-form models</w:t>
      </w:r>
      <w:bookmarkEnd w:id="145"/>
      <w:bookmarkEnd w:id="146"/>
      <w:bookmarkEnd w:id="147"/>
      <w:bookmarkEnd w:id="148"/>
      <w:bookmarkEnd w:id="149"/>
      <w:bookmarkEnd w:id="150"/>
    </w:p>
    <w:p w14:paraId="0CC74195"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Relevant factors for the assessment of the NRA that have been mentioned for each of the co-investment types separately will usually also be of relevance in cases where a co-investment agreement consists of a mix of more than one of these types. However, there might also be specific factors that become relevant when combining such co-investment types. Most likely, these will be case-specific and, as such, subject to scrutiny by NRAs according to the principles of fair, reasonable and non-discriminatory terms.</w:t>
      </w:r>
      <w:bookmarkStart w:id="151" w:name="_Ref23877458"/>
    </w:p>
    <w:p w14:paraId="532BA8A6" w14:textId="77777777" w:rsidR="003A54D6" w:rsidRDefault="003A54D6" w:rsidP="003A54D6">
      <w:pPr>
        <w:numPr>
          <w:ilvl w:val="0"/>
          <w:numId w:val="47"/>
        </w:numPr>
        <w:tabs>
          <w:tab w:val="left" w:pos="1170"/>
        </w:tabs>
        <w:contextualSpacing/>
        <w:rPr>
          <w:rFonts w:ascii="Arial" w:eastAsia="Arial" w:hAnsi="Arial" w:cs="Arial"/>
        </w:rPr>
      </w:pPr>
      <w:r w:rsidRPr="003A54D6">
        <w:rPr>
          <w:rFonts w:ascii="Arial" w:eastAsia="Arial" w:hAnsi="Arial" w:cs="Arial"/>
        </w:rPr>
        <w:t>In case different types of co-investment alternatives are implemented within a given co-investment offer, it might be justified that the offer’s terms (including the financial terms) differ across the different types of co-investors. In this regard, various sets of rights and protection granted to co-investors could justify different financial terms as these different types might be linked to differences in the level of risk that the varying types of co-investors bear.</w:t>
      </w:r>
      <w:bookmarkEnd w:id="151"/>
    </w:p>
    <w:p w14:paraId="4CF1D8FF" w14:textId="77777777" w:rsidR="00991AEA" w:rsidRPr="003A54D6" w:rsidRDefault="00991AEA" w:rsidP="00991AEA">
      <w:pPr>
        <w:tabs>
          <w:tab w:val="left" w:pos="1170"/>
        </w:tabs>
        <w:ind w:left="720"/>
        <w:contextualSpacing/>
        <w:rPr>
          <w:rFonts w:ascii="Arial" w:eastAsia="Arial" w:hAnsi="Arial" w:cs="Arial"/>
        </w:rPr>
      </w:pPr>
    </w:p>
    <w:p w14:paraId="751E8FAA" w14:textId="77777777" w:rsidR="003A54D6" w:rsidRPr="002510B0" w:rsidRDefault="003A54D6" w:rsidP="002510B0">
      <w:pPr>
        <w:keepNext/>
        <w:keepLines/>
        <w:numPr>
          <w:ilvl w:val="4"/>
          <w:numId w:val="22"/>
        </w:numPr>
        <w:spacing w:before="40" w:after="120"/>
        <w:outlineLvl w:val="3"/>
        <w:rPr>
          <w:rFonts w:ascii="Arial" w:eastAsia="Times New Roman" w:hAnsi="Arial" w:cs="Times New Roman"/>
          <w:iCs/>
          <w:color w:val="000000"/>
          <w:lang w:val="en-GB"/>
        </w:rPr>
      </w:pPr>
      <w:bookmarkStart w:id="152" w:name="_Toc38464090"/>
      <w:r w:rsidRPr="002510B0">
        <w:rPr>
          <w:rFonts w:ascii="Arial" w:eastAsia="Arial" w:hAnsi="Arial" w:cs="Times New Roman"/>
          <w:iCs/>
          <w:color w:val="000000"/>
          <w:lang w:val="en-GB"/>
        </w:rPr>
        <w:t>Considerations for all types of co-investment models</w:t>
      </w:r>
      <w:bookmarkEnd w:id="152"/>
    </w:p>
    <w:p w14:paraId="307A7594"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Irrespective of the type of the co-investment model, when evaluating whether the co-investment offer’s terms and conditions are fair, reasonable and non-discriminatory, NRAs in particular have to assess the potential variations that might be included in the offer’s terms as described above. In this respect, NRAs might evaluate whether proposed differences in the terms offered are based on reasonable economic grounds and where applicable, whether these differences are based on the level of risk associated with different levels or timings of commitments</w:t>
      </w:r>
      <w:r w:rsidRPr="003A54D6">
        <w:rPr>
          <w:vertAlign w:val="superscript"/>
          <w:lang w:val="en-GB"/>
        </w:rPr>
        <w:footnoteReference w:id="38"/>
      </w:r>
      <w:r w:rsidRPr="003A54D6">
        <w:rPr>
          <w:rFonts w:ascii="Arial" w:eastAsia="Arial" w:hAnsi="Arial" w:cs="Arial"/>
        </w:rPr>
        <w:t xml:space="preserve">. This aspect is of particular importance to ensure that the offer’s terms allow </w:t>
      </w:r>
      <w:r w:rsidRPr="003A54D6">
        <w:rPr>
          <w:rFonts w:ascii="Arial" w:eastAsia="Arial" w:hAnsi="Arial" w:cs="Arial"/>
        </w:rPr>
        <w:lastRenderedPageBreak/>
        <w:t xml:space="preserve">co-investors to compete effectively and sustainably in the long term in markets in which the SMP operator is active. </w:t>
      </w:r>
    </w:p>
    <w:p w14:paraId="64FD7C51"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For the assessment of the financial terms, NRAs could make use in particular of information that forms the basis for the network deployment’s business case. For example, information about anticipated costs, expected evolution of demand and revenues</w:t>
      </w:r>
      <w:r w:rsidR="00216C3F">
        <w:rPr>
          <w:rFonts w:ascii="Arial" w:eastAsia="Arial" w:hAnsi="Arial" w:cs="Arial"/>
        </w:rPr>
        <w:t>,</w:t>
      </w:r>
      <w:r w:rsidRPr="003A54D6">
        <w:rPr>
          <w:rFonts w:ascii="Arial" w:eastAsia="Arial" w:hAnsi="Arial" w:cs="Arial"/>
        </w:rPr>
        <w:t xml:space="preserve"> as well as the resulting economic risk associated with the deployment might be of interest to the NRAs and could be evaluated.</w:t>
      </w:r>
    </w:p>
    <w:p w14:paraId="6B970930"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If possible, NRAs could also use information gathered from benchmarks of comparable co-investment agreements that are already in place or other agreements between market participants. However, the amount of agreements already in place as well as the comparability between different existing agreements and thus different deployment projects might be very limited. This especially seems relevant for the comparison of projects across different countries.</w:t>
      </w:r>
    </w:p>
    <w:p w14:paraId="1C486782" w14:textId="77777777"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Furthermore, NRAs should look at undertakings actually operating in the market and their ability to compete effectively and sustainably in the long term based on the given terms and conditions. This assessment should take into particular consideration the results of the market test conducted in accordance with Article 79 (2).</w:t>
      </w:r>
    </w:p>
    <w:p w14:paraId="20B79D73" w14:textId="77777777" w:rsidR="003A54D6" w:rsidRPr="003A54D6" w:rsidRDefault="003A54D6" w:rsidP="003A54D6">
      <w:pPr>
        <w:numPr>
          <w:ilvl w:val="0"/>
          <w:numId w:val="47"/>
        </w:numPr>
        <w:tabs>
          <w:tab w:val="left" w:pos="1170"/>
        </w:tabs>
        <w:contextualSpacing/>
        <w:rPr>
          <w:rFonts w:ascii="Arial" w:eastAsia="Arial" w:hAnsi="Arial" w:cs="Arial"/>
        </w:rPr>
      </w:pPr>
      <w:bookmarkStart w:id="153" w:name="_Ref38453418"/>
      <w:r w:rsidRPr="003A54D6">
        <w:rPr>
          <w:rFonts w:ascii="Arial" w:eastAsia="Arial" w:hAnsi="Arial" w:cs="Arial"/>
        </w:rPr>
        <w:t>In case the NRA concludes that a</w:t>
      </w:r>
      <w:r w:rsidRPr="003A54D6">
        <w:rPr>
          <w:rFonts w:ascii="Arial" w:hAnsi="Arial"/>
        </w:rPr>
        <w:t>n efficient undertaking</w:t>
      </w:r>
      <w:r w:rsidRPr="003A54D6">
        <w:rPr>
          <w:rFonts w:ascii="Arial" w:eastAsia="Arial" w:hAnsi="Arial" w:cs="Arial"/>
        </w:rPr>
        <w:t xml:space="preserve"> cannot compete effectively and sustainably when accepting the proposed terms of the co-investment offer, these terms usually cannot be considered being fair, reasonable and non-discriminatory and thus do not comply with the conditions of Article 76 (1) (b) (i). Alternatively, NRAs could potentially evaluate the terms of the co-investment offer by assuming a hypothetical efficient provider of electronic communications networks and/or services. If there are different business models present in the market, NRAs could also make use of several different hypothetical providers of electronic communications networks and/or services for this type of assessment.</w:t>
      </w:r>
      <w:bookmarkEnd w:id="153"/>
    </w:p>
    <w:p w14:paraId="3F201999" w14:textId="77777777" w:rsidR="003A54D6" w:rsidRPr="003A54D6" w:rsidRDefault="003A54D6" w:rsidP="003A54D6">
      <w:pPr>
        <w:tabs>
          <w:tab w:val="left" w:pos="1170"/>
        </w:tabs>
        <w:rPr>
          <w:rFonts w:ascii="Arial" w:eastAsia="Arial" w:hAnsi="Arial" w:cs="Arial"/>
        </w:rPr>
      </w:pPr>
    </w:p>
    <w:p w14:paraId="4D82CDBC" w14:textId="77777777" w:rsidR="003A54D6" w:rsidRPr="002510B0" w:rsidRDefault="003A54D6" w:rsidP="002510B0">
      <w:pPr>
        <w:keepNext/>
        <w:keepLines/>
        <w:numPr>
          <w:ilvl w:val="3"/>
          <w:numId w:val="22"/>
        </w:numPr>
        <w:spacing w:before="40" w:after="120"/>
        <w:outlineLvl w:val="2"/>
        <w:rPr>
          <w:rFonts w:ascii="Arial" w:eastAsia="Arial" w:hAnsi="Arial" w:cs="Times New Roman"/>
          <w:color w:val="000000"/>
          <w:sz w:val="24"/>
          <w:u w:val="single"/>
          <w:lang w:val="en-GB"/>
        </w:rPr>
      </w:pPr>
      <w:bookmarkStart w:id="154" w:name="_Toc24096930"/>
      <w:bookmarkStart w:id="155" w:name="_Toc31190834"/>
      <w:bookmarkStart w:id="156" w:name="_Toc24112042"/>
      <w:bookmarkStart w:id="157" w:name="_Toc36816373"/>
      <w:bookmarkStart w:id="158" w:name="_Toc36030379"/>
      <w:bookmarkStart w:id="159" w:name="_Toc38464091"/>
      <w:r w:rsidRPr="00CD7C49">
        <w:rPr>
          <w:rFonts w:ascii="Arial" w:eastAsia="Arial" w:hAnsi="Arial" w:cs="Times New Roman"/>
          <w:color w:val="000000"/>
          <w:sz w:val="24"/>
          <w:lang w:val="en-GB"/>
        </w:rPr>
        <w:t>“Access to the full capacity of the network</w:t>
      </w:r>
      <w:r w:rsidR="00357618" w:rsidRPr="00CD7C49">
        <w:rPr>
          <w:rFonts w:ascii="Arial" w:eastAsia="Arial" w:hAnsi="Arial" w:cs="Times New Roman"/>
          <w:color w:val="000000"/>
          <w:sz w:val="24"/>
          <w:lang w:val="en-GB"/>
        </w:rPr>
        <w:t xml:space="preserve"> to the extent that it is subject to co-investment</w:t>
      </w:r>
      <w:r w:rsidRPr="00CD7C49">
        <w:rPr>
          <w:rFonts w:ascii="Arial" w:eastAsia="Arial" w:hAnsi="Arial" w:cs="Times New Roman"/>
          <w:color w:val="000000"/>
          <w:sz w:val="24"/>
          <w:lang w:val="en-GB"/>
        </w:rPr>
        <w:t>”</w:t>
      </w:r>
      <w:bookmarkEnd w:id="154"/>
      <w:bookmarkEnd w:id="155"/>
      <w:bookmarkEnd w:id="156"/>
      <w:bookmarkEnd w:id="157"/>
      <w:bookmarkEnd w:id="158"/>
      <w:bookmarkEnd w:id="159"/>
    </w:p>
    <w:p w14:paraId="2E1B8641" w14:textId="209B03CC" w:rsidR="003A54D6" w:rsidRPr="003A54D6" w:rsidRDefault="004428B3" w:rsidP="00223319">
      <w:pPr>
        <w:pStyle w:val="ListParagraph"/>
        <w:numPr>
          <w:ilvl w:val="0"/>
          <w:numId w:val="47"/>
        </w:numPr>
        <w:spacing w:after="60"/>
        <w:contextualSpacing w:val="0"/>
        <w:rPr>
          <w:rFonts w:ascii="Arial" w:eastAsia="Arial" w:hAnsi="Arial" w:cs="Arial"/>
          <w:i/>
        </w:rPr>
      </w:pPr>
      <w:r w:rsidRPr="003A54D6">
        <w:rPr>
          <w:rFonts w:ascii="Arial" w:eastAsia="Arial" w:hAnsi="Arial" w:cs="Arial"/>
          <w:i/>
        </w:rPr>
        <w:t xml:space="preserve"> </w:t>
      </w:r>
      <w:r w:rsidR="003A54D6" w:rsidRPr="003A54D6">
        <w:rPr>
          <w:rFonts w:ascii="Arial" w:eastAsia="Arial" w:hAnsi="Arial" w:cs="Arial"/>
          <w:i/>
        </w:rPr>
        <w:t>“Access to the full capacity of the network”</w:t>
      </w:r>
      <w:r w:rsidR="003A54D6" w:rsidRPr="003A54D6">
        <w:rPr>
          <w:rFonts w:ascii="Arial" w:eastAsia="Arial" w:hAnsi="Arial" w:cs="Arial"/>
        </w:rPr>
        <w:t xml:space="preserve"> implies that the co-investment offer’s terms should allow other co-investors to have access to the full potential of the new very high capacity network and that the granted access can – if at all – only be limited by given (technical) circumstances that equally affect all co-investors, including the SMP operator, and not be restricted</w:t>
      </w:r>
      <w:r w:rsidR="00223319">
        <w:rPr>
          <w:rFonts w:ascii="Arial" w:eastAsia="Arial" w:hAnsi="Arial" w:cs="Arial"/>
        </w:rPr>
        <w:t xml:space="preserve"> otherwise.</w:t>
      </w:r>
    </w:p>
    <w:p w14:paraId="70FA4719" w14:textId="0BEA2508"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The condition implies that co-investors must be allowed to have access to the full capacity of the network, including the possibility to provide services (i.e. wholesale and retail services) without undue restriction by the SMP operator.</w:t>
      </w:r>
    </w:p>
    <w:p w14:paraId="4C8681F8" w14:textId="620DDAAF"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 xml:space="preserve">This requirement holds irrespective of what the SMP operator offers to its own retail arm and applies to all kinds of co-investments addressed by this </w:t>
      </w:r>
      <w:r w:rsidR="00FF487B">
        <w:rPr>
          <w:rFonts w:ascii="Arial" w:eastAsia="Arial" w:hAnsi="Arial" w:cs="Arial"/>
        </w:rPr>
        <w:t>Article</w:t>
      </w:r>
      <w:r w:rsidRPr="003A54D6">
        <w:rPr>
          <w:rFonts w:ascii="Arial" w:eastAsia="Arial" w:hAnsi="Arial" w:cs="Arial"/>
        </w:rPr>
        <w:t>.</w:t>
      </w:r>
    </w:p>
    <w:p w14:paraId="5F34D28C" w14:textId="305D32B4"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 xml:space="preserve">However, this does not imply that the SMP operator is required to offer the co-investors better conditions than it would be able to offer itself. Rather, the offer’s terms should ensure that the SMP operator provides unrestricted access to the technical capacity of the network. </w:t>
      </w:r>
      <w:r w:rsidRPr="003A54D6">
        <w:rPr>
          <w:rFonts w:ascii="Arial" w:eastAsia="Arial" w:hAnsi="Arial" w:cs="Arial"/>
        </w:rPr>
        <w:lastRenderedPageBreak/>
        <w:t>This capacity can especially be influenced by any limitations given by the network’s architecture or other technical conditions. In certain cases, access to the full capacity may have to be ensured by providing the possibility for passive access (e.g. access to dark</w:t>
      </w:r>
      <w:r w:rsidRPr="001A2DB6">
        <w:rPr>
          <w:rFonts w:ascii="Arial" w:eastAsia="Arial" w:hAnsi="Arial" w:cs="Arial"/>
          <w:lang w:val="en-GB"/>
        </w:rPr>
        <w:t xml:space="preserve"> fibre</w:t>
      </w:r>
      <w:r w:rsidRPr="003A54D6">
        <w:rPr>
          <w:rFonts w:ascii="Arial" w:eastAsia="Arial" w:hAnsi="Arial" w:cs="Arial"/>
        </w:rPr>
        <w:t>).</w:t>
      </w:r>
    </w:p>
    <w:p w14:paraId="087E1B55" w14:textId="07F62938"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 xml:space="preserve">However, the previously described – in a technical sense unrestricted – access to the network is limited by </w:t>
      </w:r>
      <w:r w:rsidR="00216C3F">
        <w:rPr>
          <w:rFonts w:ascii="Arial" w:eastAsia="Arial" w:hAnsi="Arial" w:cs="Arial"/>
        </w:rPr>
        <w:t>“</w:t>
      </w:r>
      <w:r w:rsidR="00216C3F" w:rsidRPr="001C2B4C">
        <w:rPr>
          <w:rFonts w:ascii="Arial" w:hAnsi="Arial"/>
          <w:i/>
        </w:rPr>
        <w:t>t</w:t>
      </w:r>
      <w:r w:rsidRPr="003A54D6">
        <w:rPr>
          <w:rFonts w:ascii="Arial" w:eastAsia="Arial" w:hAnsi="Arial" w:cs="Arial"/>
          <w:i/>
        </w:rPr>
        <w:t>he extent that the network is subject to co-investment”</w:t>
      </w:r>
      <w:r w:rsidRPr="003A54D6">
        <w:rPr>
          <w:rFonts w:ascii="Arial" w:eastAsia="Arial" w:hAnsi="Arial" w:cs="Arial"/>
        </w:rPr>
        <w:t>.</w:t>
      </w:r>
    </w:p>
    <w:p w14:paraId="68EB3084" w14:textId="6FCF085B" w:rsidR="003A54D6" w:rsidRPr="003A54D6" w:rsidRDefault="003A54D6" w:rsidP="00223319">
      <w:pPr>
        <w:pStyle w:val="ListParagraph"/>
        <w:numPr>
          <w:ilvl w:val="0"/>
          <w:numId w:val="47"/>
        </w:numPr>
        <w:spacing w:after="60"/>
        <w:contextualSpacing w:val="0"/>
        <w:rPr>
          <w:rFonts w:ascii="Arial" w:eastAsia="Arial" w:hAnsi="Arial" w:cs="Arial"/>
        </w:rPr>
      </w:pPr>
      <w:r w:rsidRPr="003A54D6">
        <w:rPr>
          <w:rFonts w:ascii="Arial" w:eastAsia="Arial" w:hAnsi="Arial" w:cs="Arial"/>
        </w:rPr>
        <w:t>This implies that access only needs to be granted to new network elements that are subject to the co-investment. Other elements of the network – e.g. other parts of the SMP operator’s network that are not part of the co-investment scheme and possibly already existed before – are generally not covered by this requirement and</w:t>
      </w:r>
      <w:r w:rsidRPr="003A54D6" w:rsidDel="005D455F">
        <w:rPr>
          <w:rFonts w:ascii="Arial" w:eastAsia="Arial" w:hAnsi="Arial" w:cs="Arial"/>
        </w:rPr>
        <w:t xml:space="preserve"> </w:t>
      </w:r>
      <w:r w:rsidRPr="003A54D6">
        <w:rPr>
          <w:rFonts w:ascii="Arial" w:eastAsia="Arial" w:hAnsi="Arial" w:cs="Arial"/>
        </w:rPr>
        <w:t>thus do not need to be accessible under the co-investment offer.</w:t>
      </w:r>
      <w:r w:rsidRPr="003A54D6">
        <w:rPr>
          <w:rFonts w:ascii="Arial" w:eastAsia="Arial" w:hAnsi="Arial" w:cs="Arial"/>
          <w:vertAlign w:val="superscript"/>
        </w:rPr>
        <w:footnoteReference w:id="39"/>
      </w:r>
    </w:p>
    <w:p w14:paraId="21B13157" w14:textId="59571929" w:rsidR="00565BB9" w:rsidRPr="00BC0472" w:rsidRDefault="003A54D6" w:rsidP="001C2B4C">
      <w:pPr>
        <w:numPr>
          <w:ilvl w:val="0"/>
          <w:numId w:val="47"/>
        </w:numPr>
        <w:ind w:left="357" w:hanging="357"/>
        <w:rPr>
          <w:rFonts w:ascii="Arial" w:eastAsia="Arial" w:hAnsi="Arial" w:cs="Arial"/>
        </w:rPr>
      </w:pPr>
      <w:r w:rsidRPr="003A54D6">
        <w:rPr>
          <w:rFonts w:ascii="Arial" w:eastAsia="Arial" w:hAnsi="Arial" w:cs="Arial"/>
        </w:rPr>
        <w:t>Furthermore, access is also limited based on the commitment a co-investor invests into and thus also on the level of risk an individual co-investor bears with its commitment, independent of the specific type of the co-investment vehicle.</w:t>
      </w:r>
    </w:p>
    <w:p w14:paraId="25BE93F9" w14:textId="77777777" w:rsidR="00C278CC" w:rsidRPr="00CD7C49" w:rsidRDefault="00565BB9" w:rsidP="002510B0">
      <w:pPr>
        <w:keepNext/>
        <w:keepLines/>
        <w:numPr>
          <w:ilvl w:val="2"/>
          <w:numId w:val="22"/>
        </w:numPr>
        <w:spacing w:before="40" w:after="120"/>
        <w:outlineLvl w:val="2"/>
        <w:rPr>
          <w:rFonts w:ascii="Arial" w:eastAsia="Arial" w:hAnsi="Arial" w:cs="Times New Roman"/>
          <w:b/>
          <w:bCs/>
          <w:color w:val="000000"/>
          <w:sz w:val="24"/>
          <w:lang w:val="fr-FR"/>
        </w:rPr>
      </w:pPr>
      <w:bookmarkStart w:id="160" w:name="_Toc24096931"/>
      <w:bookmarkStart w:id="161" w:name="_Toc31190835"/>
      <w:bookmarkStart w:id="162" w:name="_Toc24112043"/>
      <w:bookmarkStart w:id="163" w:name="_Toc36816374"/>
      <w:bookmarkStart w:id="164" w:name="_Toc36030380"/>
      <w:bookmarkStart w:id="165" w:name="_Ref38367833"/>
      <w:bookmarkStart w:id="166" w:name="_Ref38452536"/>
      <w:bookmarkStart w:id="167" w:name="_Ref38453239"/>
      <w:bookmarkStart w:id="168" w:name="_Toc38464092"/>
      <w:r w:rsidRPr="00CD7C49">
        <w:rPr>
          <w:rFonts w:ascii="Arial" w:eastAsia="Arial" w:hAnsi="Arial" w:cs="Times New Roman"/>
          <w:b/>
          <w:bCs/>
          <w:color w:val="000000"/>
          <w:sz w:val="24"/>
          <w:lang w:val="fr-FR"/>
        </w:rPr>
        <w:t>Guidelines on Article 76 Par 1 Point B)</w:t>
      </w:r>
      <w:r w:rsidR="00084723" w:rsidRPr="00CD7C49">
        <w:rPr>
          <w:rFonts w:ascii="Arial" w:eastAsia="Arial" w:hAnsi="Arial" w:cs="Times New Roman"/>
          <w:b/>
          <w:bCs/>
          <w:color w:val="000000"/>
          <w:sz w:val="24"/>
          <w:lang w:val="fr-FR"/>
        </w:rPr>
        <w:t xml:space="preserve"> (II)</w:t>
      </w:r>
      <w:r w:rsidRPr="00CD7C49">
        <w:rPr>
          <w:rFonts w:ascii="Arial" w:eastAsia="Arial" w:hAnsi="Arial" w:cs="Times New Roman"/>
          <w:b/>
          <w:bCs/>
          <w:color w:val="000000"/>
          <w:sz w:val="24"/>
          <w:lang w:val="fr-FR"/>
        </w:rPr>
        <w:t xml:space="preserve"> </w:t>
      </w:r>
      <w:bookmarkEnd w:id="160"/>
      <w:bookmarkEnd w:id="161"/>
      <w:bookmarkEnd w:id="162"/>
      <w:bookmarkEnd w:id="163"/>
      <w:bookmarkEnd w:id="164"/>
      <w:bookmarkEnd w:id="165"/>
      <w:bookmarkEnd w:id="166"/>
      <w:bookmarkEnd w:id="167"/>
      <w:bookmarkEnd w:id="168"/>
    </w:p>
    <w:p w14:paraId="1B3F883B" w14:textId="77777777" w:rsidR="00C278CC" w:rsidRPr="00BC0472" w:rsidRDefault="00C278CC" w:rsidP="00C278CC">
      <w:pPr>
        <w:pStyle w:val="ListParagraph"/>
        <w:numPr>
          <w:ilvl w:val="0"/>
          <w:numId w:val="47"/>
        </w:numPr>
        <w:tabs>
          <w:tab w:val="left" w:pos="1170"/>
        </w:tabs>
        <w:rPr>
          <w:rFonts w:ascii="Arial" w:eastAsia="Arial" w:hAnsi="Arial" w:cs="Times New Roman"/>
          <w:lang w:val="en-IE"/>
        </w:rPr>
      </w:pPr>
      <w:r w:rsidRPr="008D5996">
        <w:rPr>
          <w:rFonts w:ascii="Arial" w:eastAsia="Arial" w:hAnsi="Arial" w:cs="Times New Roman"/>
          <w:lang w:val="en-IE"/>
        </w:rPr>
        <w:t>In general, it is recognised that the requirement for flexibility needs to be balanced against incentivising early and material commitment to the co-investment project, so that the benefits of co-investment in terms of pooling of costs and risks can be realised. However, additional</w:t>
      </w:r>
      <w:r w:rsidRPr="007D34B9">
        <w:rPr>
          <w:vertAlign w:val="superscript"/>
          <w:lang w:val="en-IE"/>
        </w:rPr>
        <w:footnoteReference w:id="40"/>
      </w:r>
      <w:r w:rsidRPr="008D5996">
        <w:rPr>
          <w:rFonts w:ascii="Arial" w:eastAsia="Arial" w:hAnsi="Arial" w:cs="Times New Roman"/>
          <w:lang w:val="en-IE"/>
        </w:rPr>
        <w:t xml:space="preserve"> co-investors may emerge at different stages of the network deployment </w:t>
      </w:r>
      <w:r>
        <w:rPr>
          <w:rFonts w:ascii="Arial" w:eastAsia="Arial" w:hAnsi="Arial" w:cs="Times New Roman"/>
          <w:lang w:val="en-IE"/>
        </w:rPr>
        <w:t>project</w:t>
      </w:r>
      <w:r w:rsidRPr="008D5996">
        <w:rPr>
          <w:rFonts w:ascii="Arial" w:eastAsia="Arial" w:hAnsi="Arial" w:cs="Times New Roman"/>
          <w:lang w:val="en-IE"/>
        </w:rPr>
        <w:t xml:space="preserve">, including after the commencement of the </w:t>
      </w:r>
      <w:r>
        <w:rPr>
          <w:rFonts w:ascii="Arial" w:eastAsia="Arial" w:hAnsi="Arial" w:cs="Times New Roman"/>
          <w:lang w:val="en-IE"/>
        </w:rPr>
        <w:t>project</w:t>
      </w:r>
      <w:r w:rsidRPr="008D5996">
        <w:rPr>
          <w:rFonts w:ascii="Arial" w:eastAsia="Arial" w:hAnsi="Arial" w:cs="Times New Roman"/>
          <w:lang w:val="en-IE"/>
        </w:rPr>
        <w:t xml:space="preserve"> itself, with the financial conditions having to be set in a way that reflects the different levels of risk accepted by the individual co-investors.</w:t>
      </w:r>
    </w:p>
    <w:p w14:paraId="6F5A11ED" w14:textId="77777777" w:rsidR="00C278CC" w:rsidRPr="00565BB9" w:rsidRDefault="00C278CC" w:rsidP="00C278CC">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b/>
          <w:lang w:val="en-IE"/>
        </w:rPr>
        <w:t>Point b) (ii):</w:t>
      </w:r>
      <w:r w:rsidRPr="00565BB9">
        <w:rPr>
          <w:rFonts w:ascii="Arial" w:eastAsia="Arial" w:hAnsi="Arial" w:cs="Times New Roman"/>
          <w:lang w:val="en-IE"/>
        </w:rPr>
        <w:t xml:space="preserve"> “</w:t>
      </w:r>
      <w:r w:rsidRPr="00565BB9">
        <w:rPr>
          <w:rFonts w:ascii="Arial" w:eastAsia="Arial" w:hAnsi="Arial" w:cs="Times New Roman"/>
          <w:i/>
          <w:lang w:val="en-IE"/>
        </w:rPr>
        <w:t>flexibility in terms of the value and timing of the participation of each co-investor</w:t>
      </w:r>
      <w:r w:rsidRPr="00565BB9">
        <w:rPr>
          <w:rFonts w:ascii="Arial" w:eastAsia="Arial" w:hAnsi="Arial" w:cs="Times New Roman"/>
          <w:lang w:val="en-IE"/>
        </w:rPr>
        <w:t>;”</w:t>
      </w:r>
    </w:p>
    <w:p w14:paraId="6D6EB0C6" w14:textId="77777777" w:rsidR="00C278CC" w:rsidRPr="008D5996" w:rsidRDefault="00C278CC" w:rsidP="00223319">
      <w:pPr>
        <w:pStyle w:val="ListParagraph"/>
        <w:numPr>
          <w:ilvl w:val="0"/>
          <w:numId w:val="47"/>
        </w:numPr>
        <w:spacing w:after="60"/>
        <w:contextualSpacing w:val="0"/>
        <w:rPr>
          <w:rFonts w:ascii="Arial" w:eastAsia="Arial" w:hAnsi="Arial" w:cs="Times New Roman"/>
          <w:lang w:val="en-IE"/>
        </w:rPr>
      </w:pPr>
      <w:r w:rsidRPr="008D5996">
        <w:rPr>
          <w:rFonts w:ascii="Arial" w:eastAsia="Arial" w:hAnsi="Arial" w:cs="Times New Roman"/>
          <w:lang w:val="en-IE"/>
        </w:rPr>
        <w:t>Flexibility in terms of the value of the participation of each co-investor could be achieved in various ways, depending on the specifics of the co-investment arrangement</w:t>
      </w:r>
      <w:r>
        <w:rPr>
          <w:rFonts w:ascii="Arial" w:eastAsia="Arial" w:hAnsi="Arial" w:cs="Times New Roman"/>
          <w:lang w:val="en-IE"/>
        </w:rPr>
        <w:t>.</w:t>
      </w:r>
      <w:r w:rsidRPr="008D5996">
        <w:rPr>
          <w:rFonts w:ascii="Arial" w:eastAsia="Arial" w:hAnsi="Arial" w:cs="Times New Roman"/>
          <w:lang w:val="en-IE"/>
        </w:rPr>
        <w:t xml:space="preserve"> </w:t>
      </w:r>
      <w:r>
        <w:rPr>
          <w:rFonts w:ascii="Arial" w:eastAsia="Arial" w:hAnsi="Arial" w:cs="Times New Roman"/>
          <w:lang w:val="en-IE"/>
        </w:rPr>
        <w:t>F</w:t>
      </w:r>
      <w:r w:rsidRPr="008D5996">
        <w:rPr>
          <w:rFonts w:ascii="Arial" w:eastAsia="Arial" w:hAnsi="Arial" w:cs="Times New Roman"/>
          <w:lang w:val="en-IE"/>
        </w:rPr>
        <w:t>or example, offering co-investors the option to commit</w:t>
      </w:r>
      <w:r>
        <w:rPr>
          <w:rFonts w:ascii="Arial" w:eastAsia="Arial" w:hAnsi="Arial" w:cs="Times New Roman"/>
          <w:lang w:val="en-IE"/>
        </w:rPr>
        <w:t xml:space="preserve"> more or</w:t>
      </w:r>
      <w:r w:rsidRPr="008D5996">
        <w:rPr>
          <w:rFonts w:ascii="Arial" w:eastAsia="Arial" w:hAnsi="Arial" w:cs="Times New Roman"/>
          <w:lang w:val="en-IE"/>
        </w:rPr>
        <w:t xml:space="preserve"> less capital for a </w:t>
      </w:r>
      <w:r>
        <w:rPr>
          <w:rFonts w:ascii="Arial" w:eastAsia="Arial" w:hAnsi="Arial" w:cs="Times New Roman"/>
          <w:lang w:val="en-IE"/>
        </w:rPr>
        <w:t xml:space="preserve">larger or </w:t>
      </w:r>
      <w:r w:rsidRPr="008D5996">
        <w:rPr>
          <w:rFonts w:ascii="Arial" w:eastAsia="Arial" w:hAnsi="Arial" w:cs="Times New Roman"/>
          <w:lang w:val="en-IE"/>
        </w:rPr>
        <w:t xml:space="preserve">smaller share of the project or </w:t>
      </w:r>
      <w:r>
        <w:rPr>
          <w:rFonts w:ascii="Arial" w:eastAsia="Arial" w:hAnsi="Arial" w:cs="Times New Roman"/>
          <w:lang w:val="en-IE"/>
        </w:rPr>
        <w:t xml:space="preserve">options to </w:t>
      </w:r>
      <w:r w:rsidRPr="008D5996">
        <w:rPr>
          <w:rFonts w:ascii="Arial" w:eastAsia="Arial" w:hAnsi="Arial" w:cs="Times New Roman"/>
          <w:lang w:val="en-IE"/>
        </w:rPr>
        <w:t xml:space="preserve">purchase an IRU to </w:t>
      </w:r>
      <w:r>
        <w:rPr>
          <w:rFonts w:ascii="Arial" w:eastAsia="Arial" w:hAnsi="Arial" w:cs="Times New Roman"/>
          <w:lang w:val="en-IE"/>
        </w:rPr>
        <w:t xml:space="preserve">different </w:t>
      </w:r>
      <w:r w:rsidRPr="008D5996">
        <w:rPr>
          <w:rFonts w:ascii="Arial" w:eastAsia="Arial" w:hAnsi="Arial" w:cs="Times New Roman"/>
          <w:lang w:val="en-IE"/>
        </w:rPr>
        <w:t xml:space="preserve">amounts of capacity. </w:t>
      </w:r>
    </w:p>
    <w:p w14:paraId="4A80898D" w14:textId="77777777" w:rsidR="00C278CC" w:rsidRPr="008D5996" w:rsidRDefault="00C278CC" w:rsidP="00223319">
      <w:pPr>
        <w:pStyle w:val="ListParagraph"/>
        <w:numPr>
          <w:ilvl w:val="0"/>
          <w:numId w:val="47"/>
        </w:numPr>
        <w:spacing w:after="60"/>
        <w:contextualSpacing w:val="0"/>
        <w:rPr>
          <w:rFonts w:ascii="Arial" w:eastAsia="Arial" w:hAnsi="Arial" w:cs="Times New Roman"/>
          <w:lang w:val="en-IE"/>
        </w:rPr>
      </w:pPr>
      <w:r w:rsidRPr="008D5996">
        <w:rPr>
          <w:rFonts w:ascii="Arial" w:eastAsia="Arial" w:hAnsi="Arial" w:cs="Times New Roman"/>
          <w:lang w:val="en-IE"/>
        </w:rPr>
        <w:t xml:space="preserve">Under this flexibility, variations in financial terms may be possible, subject to these being justified on the basis of the same objective(s), such as the financial </w:t>
      </w:r>
      <w:r>
        <w:rPr>
          <w:rFonts w:ascii="Arial" w:eastAsia="Arial" w:hAnsi="Arial" w:cs="Times New Roman"/>
          <w:lang w:val="en-IE"/>
        </w:rPr>
        <w:t xml:space="preserve">commitment </w:t>
      </w:r>
      <w:r w:rsidRPr="008D5996">
        <w:rPr>
          <w:rFonts w:ascii="Arial" w:eastAsia="Arial" w:hAnsi="Arial" w:cs="Times New Roman"/>
          <w:lang w:val="en-IE"/>
        </w:rPr>
        <w:t>of the co-investor, transparency, non-discrimination and predictability</w:t>
      </w:r>
      <w:r w:rsidRPr="00565BB9">
        <w:rPr>
          <w:vertAlign w:val="superscript"/>
          <w:lang w:val="en-IE"/>
        </w:rPr>
        <w:footnoteReference w:id="41"/>
      </w:r>
      <w:r w:rsidRPr="008D5996">
        <w:rPr>
          <w:rFonts w:ascii="Arial" w:eastAsia="Arial" w:hAnsi="Arial" w:cs="Times New Roman"/>
          <w:lang w:val="en-IE"/>
        </w:rPr>
        <w:t>.</w:t>
      </w:r>
    </w:p>
    <w:p w14:paraId="4029B62C" w14:textId="77777777" w:rsidR="00C278CC" w:rsidRPr="008D5996" w:rsidRDefault="00C278CC" w:rsidP="00223319">
      <w:pPr>
        <w:pStyle w:val="ListParagraph"/>
        <w:numPr>
          <w:ilvl w:val="0"/>
          <w:numId w:val="47"/>
        </w:numPr>
        <w:spacing w:after="60"/>
        <w:contextualSpacing w:val="0"/>
        <w:rPr>
          <w:rFonts w:ascii="Arial" w:eastAsia="Arial" w:hAnsi="Arial" w:cs="Times New Roman"/>
          <w:lang w:val="en-IE"/>
        </w:rPr>
      </w:pPr>
      <w:r w:rsidRPr="008D5996">
        <w:rPr>
          <w:rFonts w:ascii="Arial" w:eastAsia="Arial" w:hAnsi="Arial" w:cs="Times New Roman"/>
          <w:lang w:val="en-GB"/>
        </w:rPr>
        <w:lastRenderedPageBreak/>
        <w:t xml:space="preserve">In determining </w:t>
      </w:r>
      <w:r w:rsidRPr="001D2794">
        <w:rPr>
          <w:rFonts w:ascii="Arial" w:eastAsia="Arial" w:hAnsi="Arial" w:cs="Times New Roman"/>
          <w:lang w:val="en-GB"/>
        </w:rPr>
        <w:t xml:space="preserve">whether the flexibility provided in the offer meets the </w:t>
      </w:r>
      <w:r>
        <w:rPr>
          <w:rFonts w:ascii="Arial" w:eastAsia="Arial" w:hAnsi="Arial" w:cs="Times New Roman"/>
          <w:lang w:val="en-GB"/>
        </w:rPr>
        <w:t>requirements of Article 76</w:t>
      </w:r>
      <w:r w:rsidRPr="008D5996">
        <w:rPr>
          <w:rFonts w:ascii="Arial" w:eastAsia="Arial" w:hAnsi="Arial" w:cs="Times New Roman"/>
          <w:lang w:val="en-GB"/>
        </w:rPr>
        <w:t xml:space="preserve">, NRAs need to be </w:t>
      </w:r>
      <w:r w:rsidRPr="008D5996">
        <w:rPr>
          <w:rFonts w:ascii="Arial" w:eastAsia="Arial" w:hAnsi="Arial" w:cs="Times New Roman"/>
          <w:lang w:val="en-IE"/>
        </w:rPr>
        <w:t xml:space="preserve">cognisant of the </w:t>
      </w:r>
      <w:r>
        <w:rPr>
          <w:rFonts w:ascii="Arial" w:eastAsia="Arial" w:hAnsi="Arial" w:cs="Times New Roman"/>
          <w:lang w:val="en-IE"/>
        </w:rPr>
        <w:t xml:space="preserve">considerations to </w:t>
      </w:r>
      <w:r w:rsidRPr="008D5996">
        <w:rPr>
          <w:rFonts w:ascii="Arial" w:eastAsia="Arial" w:hAnsi="Arial" w:cs="Times New Roman"/>
          <w:lang w:val="en-GB"/>
        </w:rPr>
        <w:t>safeguard the economic viability of the co-investment project.</w:t>
      </w:r>
      <w:r>
        <w:rPr>
          <w:rFonts w:ascii="Arial" w:eastAsia="Arial" w:hAnsi="Arial" w:cs="Times New Roman"/>
          <w:lang w:val="en-IE"/>
        </w:rPr>
        <w:t xml:space="preserve"> </w:t>
      </w:r>
    </w:p>
    <w:p w14:paraId="1B3E888F" w14:textId="77777777" w:rsidR="00C278CC" w:rsidRPr="00C278CC" w:rsidRDefault="00C278CC" w:rsidP="00223319">
      <w:pPr>
        <w:pStyle w:val="ListParagraph"/>
        <w:numPr>
          <w:ilvl w:val="0"/>
          <w:numId w:val="47"/>
        </w:numPr>
        <w:spacing w:after="60"/>
        <w:contextualSpacing w:val="0"/>
        <w:rPr>
          <w:rFonts w:ascii="Arial" w:eastAsia="Arial" w:hAnsi="Arial" w:cs="Arial"/>
          <w:lang w:val="en-IE"/>
        </w:rPr>
      </w:pPr>
      <w:r w:rsidRPr="00CE5EAD">
        <w:rPr>
          <w:rFonts w:ascii="Arial" w:eastAsia="Arial" w:hAnsi="Arial" w:cs="Times New Roman"/>
          <w:lang w:val="en-IE"/>
        </w:rPr>
        <w:t>In principle</w:t>
      </w:r>
      <w:r w:rsidRPr="005B2BAA">
        <w:rPr>
          <w:rFonts w:ascii="Arial" w:eastAsia="Arial" w:hAnsi="Arial" w:cs="Times New Roman"/>
          <w:lang w:val="en-IE"/>
        </w:rPr>
        <w:t>, small providers of electronic communications networks and/or services</w:t>
      </w:r>
      <w:r w:rsidRPr="00CE5EAD">
        <w:rPr>
          <w:rFonts w:ascii="Arial" w:eastAsia="Arial" w:hAnsi="Arial" w:cs="Times New Roman"/>
          <w:lang w:val="en-IE"/>
        </w:rPr>
        <w:t xml:space="preserve"> should not be prevented from participating in the co-investment. Nevertheless, it may be reasonable for the SMP operator to set a minimum share of participation to ensure the effective management and governance of the project and to manage the level of its own risks. Undertakings that only commit to a very small share do not bear much of the investment´s relevant risks and thus are more comparable to access seekers (addressed in point (d)); they should not get the same treatment as co-investors which bear material risk associated with the investment (otherwise this would undermine incentives to participate in the first place). In determining whether any minimum share specified by the SMP operator meets the requirements of Article 76, the NRA should assess whether it achieves this purpose, and ensure it goes no further than this</w:t>
      </w:r>
      <w:r w:rsidR="00550367">
        <w:rPr>
          <w:rFonts w:ascii="Arial" w:eastAsia="Arial" w:hAnsi="Arial" w:cs="Times New Roman"/>
          <w:lang w:val="en-IE"/>
        </w:rPr>
        <w:t xml:space="preserve">. </w:t>
      </w:r>
      <w:r w:rsidRPr="00C278CC">
        <w:rPr>
          <w:rFonts w:ascii="Arial" w:hAnsi="Arial" w:cs="Arial"/>
        </w:rPr>
        <w:t>The minimum share should not be specified in such a way that it prevents the participation of undertakings that would otherwise make a material positive contribution to promoting effective and sustainable long-term competition in any downstream markets in which the undertaking designated as having significant market power is active.</w:t>
      </w:r>
      <w:r w:rsidRPr="00C278CC" w:rsidDel="00CE5EAD">
        <w:rPr>
          <w:rFonts w:ascii="Arial" w:eastAsia="Arial" w:hAnsi="Arial" w:cs="Arial"/>
          <w:lang w:val="en-IE"/>
        </w:rPr>
        <w:t xml:space="preserve"> </w:t>
      </w:r>
    </w:p>
    <w:p w14:paraId="49098FDE" w14:textId="77777777" w:rsidR="00C278CC" w:rsidRPr="00C278CC" w:rsidRDefault="00C278CC" w:rsidP="00223319">
      <w:pPr>
        <w:pStyle w:val="ListParagraph"/>
        <w:numPr>
          <w:ilvl w:val="0"/>
          <w:numId w:val="47"/>
        </w:numPr>
        <w:spacing w:after="60"/>
        <w:contextualSpacing w:val="0"/>
        <w:rPr>
          <w:rFonts w:ascii="Arial" w:eastAsia="Arial" w:hAnsi="Arial" w:cs="Arial"/>
          <w:lang w:val="en-IE"/>
        </w:rPr>
      </w:pPr>
      <w:r w:rsidRPr="00C278CC">
        <w:rPr>
          <w:rFonts w:ascii="Arial" w:eastAsia="Arial" w:hAnsi="Arial" w:cs="Arial"/>
          <w:lang w:val="en-IE"/>
        </w:rPr>
        <w:t>Concerning the flexibility in terms of the timing of participation, the co-investment offer may allow potential co-investors and third party undertakings to join the project (i.e. potential participants that are not in the initial list of co-investors) at different stages regardless of the stages of the co-investment project. Flexibility for existing co-investors to change the level and/or share of their participation is considered below, under point b</w:t>
      </w:r>
      <w:r w:rsidR="00A44ABE">
        <w:rPr>
          <w:rFonts w:ascii="Arial" w:eastAsia="Arial" w:hAnsi="Arial" w:cs="Arial"/>
          <w:lang w:val="en-IE"/>
        </w:rPr>
        <w:t xml:space="preserve"> </w:t>
      </w:r>
      <w:r w:rsidRPr="00C278CC">
        <w:rPr>
          <w:rFonts w:ascii="Arial" w:eastAsia="Arial" w:hAnsi="Arial" w:cs="Arial"/>
          <w:lang w:val="en-IE"/>
        </w:rPr>
        <w:t xml:space="preserve">(iii). </w:t>
      </w:r>
    </w:p>
    <w:p w14:paraId="0EE12127" w14:textId="77777777" w:rsidR="00C278CC" w:rsidRPr="00D001CD" w:rsidRDefault="00C278CC" w:rsidP="00223319">
      <w:pPr>
        <w:pStyle w:val="ListParagraph"/>
        <w:numPr>
          <w:ilvl w:val="0"/>
          <w:numId w:val="47"/>
        </w:numPr>
        <w:spacing w:after="240"/>
        <w:contextualSpacing w:val="0"/>
        <w:rPr>
          <w:rFonts w:ascii="Arial" w:eastAsia="Arial" w:hAnsi="Arial" w:cs="Times New Roman"/>
          <w:lang w:val="en-IE"/>
        </w:rPr>
      </w:pPr>
      <w:r>
        <w:rPr>
          <w:rFonts w:ascii="Arial" w:eastAsia="Arial" w:hAnsi="Arial" w:cs="Times New Roman"/>
          <w:lang w:val="en-IE"/>
        </w:rPr>
        <w:t>The terms faced by co-investors participating at different points in time need to satisfy the requirement under point b</w:t>
      </w:r>
      <w:r w:rsidR="00A44ABE">
        <w:rPr>
          <w:rFonts w:ascii="Arial" w:eastAsia="Arial" w:hAnsi="Arial" w:cs="Times New Roman"/>
          <w:lang w:val="en-IE"/>
        </w:rPr>
        <w:t xml:space="preserve"> </w:t>
      </w:r>
      <w:r w:rsidRPr="001A2DB6">
        <w:rPr>
          <w:rFonts w:ascii="Arial" w:eastAsia="Arial" w:hAnsi="Arial" w:cs="Times New Roman"/>
          <w:lang w:val="en-GB"/>
        </w:rPr>
        <w:t>(i</w:t>
      </w:r>
      <w:r>
        <w:rPr>
          <w:rFonts w:ascii="Arial" w:eastAsia="Arial" w:hAnsi="Arial" w:cs="Times New Roman"/>
          <w:lang w:val="en-IE"/>
        </w:rPr>
        <w:t xml:space="preserve">) such that the terms </w:t>
      </w:r>
      <w:r w:rsidRPr="00874BD0">
        <w:rPr>
          <w:rFonts w:ascii="Arial" w:eastAsia="Arial" w:hAnsi="Arial" w:cs="Times New Roman"/>
          <w:lang w:val="en-IE"/>
        </w:rPr>
        <w:t xml:space="preserve">of the co-investment offer </w:t>
      </w:r>
      <w:r>
        <w:rPr>
          <w:rFonts w:ascii="Arial" w:eastAsia="Arial" w:hAnsi="Arial" w:cs="Times New Roman"/>
          <w:lang w:val="en-IE"/>
        </w:rPr>
        <w:t xml:space="preserve">are </w:t>
      </w:r>
      <w:r w:rsidRPr="00874BD0">
        <w:rPr>
          <w:rFonts w:ascii="Arial" w:eastAsia="Arial" w:hAnsi="Arial" w:cs="Times New Roman"/>
          <w:lang w:val="en-IE"/>
        </w:rPr>
        <w:t>fair, reasonable and non-discriminatory</w:t>
      </w:r>
      <w:r>
        <w:rPr>
          <w:rFonts w:ascii="Arial" w:eastAsia="Arial" w:hAnsi="Arial" w:cs="Times New Roman"/>
          <w:lang w:val="en-IE"/>
        </w:rPr>
        <w:t xml:space="preserve"> (discussed above).</w:t>
      </w:r>
    </w:p>
    <w:p w14:paraId="6DC17F0D" w14:textId="77777777" w:rsidR="00C278CC" w:rsidRPr="00CD7C49" w:rsidRDefault="00C278CC" w:rsidP="002510B0">
      <w:pPr>
        <w:keepNext/>
        <w:keepLines/>
        <w:numPr>
          <w:ilvl w:val="2"/>
          <w:numId w:val="22"/>
        </w:numPr>
        <w:spacing w:before="40" w:after="120"/>
        <w:outlineLvl w:val="2"/>
        <w:rPr>
          <w:rFonts w:ascii="Arial" w:eastAsia="Arial" w:hAnsi="Arial" w:cs="Times New Roman"/>
          <w:b/>
          <w:bCs/>
          <w:color w:val="000000"/>
          <w:sz w:val="24"/>
          <w:lang w:val="fr-FR"/>
        </w:rPr>
      </w:pPr>
      <w:bookmarkStart w:id="169" w:name="_Toc36816375"/>
      <w:bookmarkStart w:id="170" w:name="_Toc36030381"/>
      <w:bookmarkStart w:id="171" w:name="_Toc38464093"/>
      <w:r w:rsidRPr="00CD7C49">
        <w:rPr>
          <w:rFonts w:ascii="Arial" w:eastAsia="Arial" w:hAnsi="Arial" w:cs="Times New Roman"/>
          <w:b/>
          <w:bCs/>
          <w:color w:val="000000"/>
          <w:sz w:val="24"/>
          <w:lang w:val="fr-FR"/>
        </w:rPr>
        <w:t xml:space="preserve">Guidelines on Article 76 Par 1 Point B) (III) </w:t>
      </w:r>
      <w:bookmarkEnd w:id="169"/>
      <w:bookmarkEnd w:id="170"/>
      <w:bookmarkEnd w:id="171"/>
    </w:p>
    <w:p w14:paraId="3334042B" w14:textId="77777777" w:rsidR="00C278CC" w:rsidRPr="00565BB9" w:rsidRDefault="00C278CC" w:rsidP="00C278CC">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b/>
          <w:lang w:val="en-IE"/>
        </w:rPr>
        <w:t>Point b) (iii):</w:t>
      </w:r>
      <w:r w:rsidRPr="00565BB9">
        <w:rPr>
          <w:rFonts w:ascii="Arial" w:eastAsia="Arial" w:hAnsi="Arial" w:cs="Times New Roman"/>
          <w:lang w:val="en-IE"/>
        </w:rPr>
        <w:t xml:space="preserve"> “</w:t>
      </w:r>
      <w:r w:rsidRPr="00565BB9">
        <w:rPr>
          <w:rFonts w:ascii="Arial" w:eastAsia="Arial" w:hAnsi="Arial" w:cs="Times New Roman"/>
          <w:i/>
          <w:lang w:val="en-IE"/>
        </w:rPr>
        <w:t>the possibility to increase such participation in the future</w:t>
      </w:r>
      <w:r w:rsidRPr="00565BB9">
        <w:rPr>
          <w:rFonts w:ascii="Arial" w:eastAsia="Arial" w:hAnsi="Arial" w:cs="Times New Roman"/>
          <w:lang w:val="en-IE"/>
        </w:rPr>
        <w:t>;”</w:t>
      </w:r>
    </w:p>
    <w:p w14:paraId="6D90B591" w14:textId="77777777" w:rsidR="00C278CC" w:rsidRPr="008D5996" w:rsidRDefault="00C278CC" w:rsidP="00223319">
      <w:pPr>
        <w:pStyle w:val="ListParagraph"/>
        <w:numPr>
          <w:ilvl w:val="0"/>
          <w:numId w:val="47"/>
        </w:numPr>
        <w:spacing w:after="60"/>
        <w:contextualSpacing w:val="0"/>
        <w:rPr>
          <w:rFonts w:ascii="Arial" w:eastAsia="Arial" w:hAnsi="Arial" w:cs="Times New Roman"/>
          <w:lang w:val="en-IE"/>
        </w:rPr>
      </w:pPr>
      <w:r>
        <w:rPr>
          <w:rFonts w:ascii="Arial" w:eastAsia="Arial" w:hAnsi="Arial" w:cs="Times New Roman"/>
          <w:lang w:val="en-IE"/>
        </w:rPr>
        <w:t xml:space="preserve">The co-investment offer shall confer flexibility for existing </w:t>
      </w:r>
      <w:r w:rsidRPr="008D5996">
        <w:rPr>
          <w:rFonts w:ascii="Arial" w:eastAsia="Arial" w:hAnsi="Arial" w:cs="Times New Roman"/>
          <w:lang w:val="en-IE"/>
        </w:rPr>
        <w:t xml:space="preserve">co-investors to </w:t>
      </w:r>
      <w:r>
        <w:rPr>
          <w:rFonts w:ascii="Arial" w:eastAsia="Arial" w:hAnsi="Arial" w:cs="Times New Roman"/>
          <w:lang w:val="en-IE"/>
        </w:rPr>
        <w:t xml:space="preserve">increase </w:t>
      </w:r>
      <w:r w:rsidRPr="008D5996">
        <w:rPr>
          <w:rFonts w:ascii="Arial" w:eastAsia="Arial" w:hAnsi="Arial" w:cs="Times New Roman"/>
          <w:lang w:val="en-IE"/>
        </w:rPr>
        <w:t>the level and/or share of their participation</w:t>
      </w:r>
      <w:r>
        <w:rPr>
          <w:rFonts w:ascii="Arial" w:eastAsia="Arial" w:hAnsi="Arial" w:cs="Times New Roman"/>
          <w:lang w:val="en-IE"/>
        </w:rPr>
        <w:t>.</w:t>
      </w:r>
      <w:r>
        <w:rPr>
          <w:rStyle w:val="FootnoteReference"/>
          <w:rFonts w:ascii="Arial" w:eastAsia="Arial" w:hAnsi="Arial" w:cs="Times New Roman"/>
          <w:lang w:val="en-IE"/>
        </w:rPr>
        <w:footnoteReference w:id="42"/>
      </w:r>
      <w:r>
        <w:rPr>
          <w:rFonts w:ascii="Arial" w:eastAsia="Arial" w:hAnsi="Arial" w:cs="Times New Roman"/>
          <w:lang w:val="en-IE"/>
        </w:rPr>
        <w:t xml:space="preserve"> In principle, the offer could also allow existing </w:t>
      </w:r>
      <w:r w:rsidRPr="008D5996">
        <w:rPr>
          <w:rFonts w:ascii="Arial" w:eastAsia="Arial" w:hAnsi="Arial" w:cs="Times New Roman"/>
          <w:lang w:val="en-IE"/>
        </w:rPr>
        <w:t xml:space="preserve">co-investors to </w:t>
      </w:r>
      <w:r>
        <w:rPr>
          <w:rFonts w:ascii="Arial" w:eastAsia="Arial" w:hAnsi="Arial" w:cs="Times New Roman"/>
          <w:lang w:val="en-IE"/>
        </w:rPr>
        <w:t xml:space="preserve">decrease </w:t>
      </w:r>
      <w:r w:rsidRPr="008D5996">
        <w:rPr>
          <w:rFonts w:ascii="Arial" w:eastAsia="Arial" w:hAnsi="Arial" w:cs="Times New Roman"/>
          <w:lang w:val="en-IE"/>
        </w:rPr>
        <w:t>their participation</w:t>
      </w:r>
      <w:r>
        <w:rPr>
          <w:rFonts w:ascii="Arial" w:eastAsia="Arial" w:hAnsi="Arial" w:cs="Times New Roman"/>
          <w:lang w:val="en-IE"/>
        </w:rPr>
        <w:t>, subject to the existence of another co-investor willing to buy their share or right of participation.</w:t>
      </w:r>
      <w:r w:rsidRPr="008D5996">
        <w:rPr>
          <w:rFonts w:ascii="Arial" w:eastAsia="Arial" w:hAnsi="Arial" w:cs="Times New Roman"/>
          <w:lang w:val="en-IE"/>
        </w:rPr>
        <w:t xml:space="preserve"> </w:t>
      </w:r>
    </w:p>
    <w:p w14:paraId="6392749C" w14:textId="77777777" w:rsidR="00C278CC" w:rsidRDefault="00C278CC" w:rsidP="00223319">
      <w:pPr>
        <w:pStyle w:val="ListParagraph"/>
        <w:numPr>
          <w:ilvl w:val="0"/>
          <w:numId w:val="47"/>
        </w:numPr>
        <w:spacing w:after="60"/>
        <w:contextualSpacing w:val="0"/>
        <w:rPr>
          <w:rFonts w:ascii="Arial" w:eastAsia="Arial" w:hAnsi="Arial" w:cs="Times New Roman"/>
          <w:lang w:val="en-IE"/>
        </w:rPr>
      </w:pPr>
      <w:r w:rsidRPr="008D5996">
        <w:rPr>
          <w:rFonts w:ascii="Arial" w:eastAsia="Arial" w:hAnsi="Arial" w:cs="Times New Roman"/>
          <w:lang w:val="en-IE"/>
        </w:rPr>
        <w:t xml:space="preserve">In </w:t>
      </w:r>
      <w:r>
        <w:rPr>
          <w:rFonts w:ascii="Arial" w:eastAsia="Arial" w:hAnsi="Arial" w:cs="Times New Roman"/>
          <w:lang w:val="en-IE"/>
        </w:rPr>
        <w:t>some</w:t>
      </w:r>
      <w:r w:rsidRPr="008D5996">
        <w:rPr>
          <w:rFonts w:ascii="Arial" w:eastAsia="Arial" w:hAnsi="Arial" w:cs="Times New Roman"/>
          <w:lang w:val="en-IE"/>
        </w:rPr>
        <w:t xml:space="preserve"> cases, the level of participation will not</w:t>
      </w:r>
      <w:r>
        <w:rPr>
          <w:rFonts w:ascii="Arial" w:eastAsia="Arial" w:hAnsi="Arial" w:cs="Times New Roman"/>
          <w:lang w:val="en-IE"/>
        </w:rPr>
        <w:t xml:space="preserve"> place any limit</w:t>
      </w:r>
      <w:r w:rsidRPr="008D5996">
        <w:rPr>
          <w:rFonts w:ascii="Arial" w:eastAsia="Arial" w:hAnsi="Arial" w:cs="Times New Roman"/>
          <w:lang w:val="en-IE"/>
        </w:rPr>
        <w:t xml:space="preserve"> </w:t>
      </w:r>
      <w:r>
        <w:rPr>
          <w:rFonts w:ascii="Arial" w:eastAsia="Arial" w:hAnsi="Arial" w:cs="Times New Roman"/>
          <w:lang w:val="en-IE"/>
        </w:rPr>
        <w:t xml:space="preserve">on a co-investor’s </w:t>
      </w:r>
      <w:r w:rsidRPr="008D5996">
        <w:rPr>
          <w:rFonts w:ascii="Arial" w:eastAsia="Arial" w:hAnsi="Arial" w:cs="Times New Roman"/>
          <w:lang w:val="en-IE"/>
        </w:rPr>
        <w:t>ability to compete at the retail level. For example</w:t>
      </w:r>
      <w:r>
        <w:rPr>
          <w:rFonts w:ascii="Arial" w:eastAsia="Arial" w:hAnsi="Arial" w:cs="Times New Roman"/>
          <w:lang w:val="en-IE"/>
        </w:rPr>
        <w:t>, under a joint venture model, co-investor</w:t>
      </w:r>
      <w:r w:rsidRPr="008D5996">
        <w:rPr>
          <w:rFonts w:ascii="Arial" w:eastAsia="Arial" w:hAnsi="Arial" w:cs="Times New Roman"/>
          <w:lang w:val="en-IE"/>
        </w:rPr>
        <w:t>s may contribute a share of the financial outlay required to fund the network deployment, in exchange for a share of ownership of the company responsible for rolling out the VHC</w:t>
      </w:r>
      <w:r>
        <w:rPr>
          <w:rFonts w:ascii="Arial" w:eastAsia="Arial" w:hAnsi="Arial" w:cs="Times New Roman"/>
          <w:lang w:val="en-IE"/>
        </w:rPr>
        <w:t>N</w:t>
      </w:r>
      <w:r w:rsidRPr="008D5996">
        <w:rPr>
          <w:rFonts w:ascii="Arial" w:eastAsia="Arial" w:hAnsi="Arial" w:cs="Times New Roman"/>
          <w:lang w:val="en-IE"/>
        </w:rPr>
        <w:t xml:space="preserve">. </w:t>
      </w:r>
      <w:r>
        <w:rPr>
          <w:rFonts w:ascii="Arial" w:eastAsia="Arial" w:hAnsi="Arial" w:cs="Times New Roman"/>
          <w:lang w:val="en-IE"/>
        </w:rPr>
        <w:t xml:space="preserve">It is then possible </w:t>
      </w:r>
      <w:r>
        <w:rPr>
          <w:rFonts w:ascii="Arial" w:eastAsia="Arial" w:hAnsi="Arial" w:cs="Times New Roman"/>
          <w:lang w:val="en-IE"/>
        </w:rPr>
        <w:lastRenderedPageBreak/>
        <w:t>that the co-investor</w:t>
      </w:r>
      <w:r w:rsidRPr="008D5996">
        <w:rPr>
          <w:rFonts w:ascii="Arial" w:eastAsia="Arial" w:hAnsi="Arial" w:cs="Times New Roman"/>
          <w:lang w:val="en-IE"/>
        </w:rPr>
        <w:t xml:space="preserve">s would be free to utilise any amount of capacity on the network, subject to their downstream business paying </w:t>
      </w:r>
      <w:r>
        <w:rPr>
          <w:rFonts w:ascii="Arial" w:eastAsia="Arial" w:hAnsi="Arial" w:cs="Times New Roman"/>
          <w:lang w:val="en-IE"/>
        </w:rPr>
        <w:t>the per line</w:t>
      </w:r>
      <w:r w:rsidRPr="008D5996">
        <w:rPr>
          <w:rFonts w:ascii="Arial" w:eastAsia="Arial" w:hAnsi="Arial" w:cs="Times New Roman"/>
          <w:lang w:val="en-IE"/>
        </w:rPr>
        <w:t xml:space="preserve"> access charges.</w:t>
      </w:r>
    </w:p>
    <w:p w14:paraId="0490651C" w14:textId="77777777" w:rsidR="00C278CC" w:rsidRPr="008D5996" w:rsidRDefault="00C278CC" w:rsidP="00223319">
      <w:pPr>
        <w:pStyle w:val="ListParagraph"/>
        <w:numPr>
          <w:ilvl w:val="0"/>
          <w:numId w:val="47"/>
        </w:numPr>
        <w:spacing w:after="60"/>
        <w:contextualSpacing w:val="0"/>
        <w:rPr>
          <w:rFonts w:ascii="Arial" w:eastAsia="Arial" w:hAnsi="Arial" w:cs="Times New Roman"/>
          <w:lang w:val="en-IE"/>
        </w:rPr>
      </w:pPr>
      <w:r w:rsidRPr="008D5996">
        <w:rPr>
          <w:rFonts w:ascii="Arial" w:eastAsia="Arial" w:hAnsi="Arial" w:cs="Times New Roman"/>
          <w:lang w:val="en-IE"/>
        </w:rPr>
        <w:t xml:space="preserve">However, it is recognised that under some forms of co-investment the level of participation may be specified in such a way that </w:t>
      </w:r>
      <w:r>
        <w:rPr>
          <w:rFonts w:ascii="Arial" w:eastAsia="Arial" w:hAnsi="Arial" w:cs="Times New Roman"/>
          <w:lang w:val="en-IE"/>
        </w:rPr>
        <w:t xml:space="preserve">it </w:t>
      </w:r>
      <w:r w:rsidRPr="008D5996">
        <w:rPr>
          <w:rFonts w:ascii="Arial" w:eastAsia="Arial" w:hAnsi="Arial" w:cs="Times New Roman"/>
          <w:lang w:val="en-IE"/>
        </w:rPr>
        <w:t xml:space="preserve">relates to a share of capacity on the network. For example, under a one-way access model, participants may purchase an IRU to a proportion of capacity on the network. Where this is the case, the co-investment offer must ensure that once the </w:t>
      </w:r>
      <w:r>
        <w:rPr>
          <w:rFonts w:ascii="Arial" w:eastAsia="Arial" w:hAnsi="Arial" w:cs="Times New Roman"/>
          <w:lang w:val="en-IE"/>
        </w:rPr>
        <w:t>co-investor</w:t>
      </w:r>
      <w:r w:rsidRPr="008D5996">
        <w:rPr>
          <w:rFonts w:ascii="Arial" w:eastAsia="Arial" w:hAnsi="Arial" w:cs="Times New Roman"/>
          <w:lang w:val="en-IE"/>
        </w:rPr>
        <w:t xml:space="preserve"> reaches this level of capacity, it is not prevented from competing for customers at the retail level. The requirement for flexibility to increase participation in the future could satisfy this requi</w:t>
      </w:r>
      <w:r>
        <w:rPr>
          <w:rFonts w:ascii="Arial" w:eastAsia="Arial" w:hAnsi="Arial" w:cs="Times New Roman"/>
          <w:lang w:val="en-IE"/>
        </w:rPr>
        <w:t>site</w:t>
      </w:r>
      <w:r w:rsidRPr="008D5996">
        <w:rPr>
          <w:rFonts w:ascii="Arial" w:eastAsia="Arial" w:hAnsi="Arial" w:cs="Times New Roman"/>
          <w:lang w:val="en-IE"/>
        </w:rPr>
        <w:t xml:space="preserve">. Alternatively, the </w:t>
      </w:r>
      <w:r>
        <w:rPr>
          <w:rFonts w:ascii="Arial" w:eastAsia="Arial" w:hAnsi="Arial" w:cs="Times New Roman"/>
          <w:lang w:val="en-IE"/>
        </w:rPr>
        <w:t xml:space="preserve">offer could set out arrangements for </w:t>
      </w:r>
      <w:r w:rsidR="003C7F67">
        <w:rPr>
          <w:rFonts w:ascii="Arial" w:eastAsia="Arial" w:hAnsi="Arial" w:cs="Times New Roman"/>
          <w:lang w:val="en-IE"/>
        </w:rPr>
        <w:t>co-investor</w:t>
      </w:r>
      <w:r w:rsidR="003C7F67" w:rsidRPr="008D5996">
        <w:rPr>
          <w:rFonts w:ascii="Arial" w:eastAsia="Arial" w:hAnsi="Arial" w:cs="Times New Roman"/>
          <w:lang w:val="en-IE"/>
        </w:rPr>
        <w:t xml:space="preserve">s </w:t>
      </w:r>
      <w:r>
        <w:rPr>
          <w:rFonts w:ascii="Arial" w:eastAsia="Arial" w:hAnsi="Arial" w:cs="Times New Roman"/>
          <w:lang w:val="en-IE"/>
        </w:rPr>
        <w:t xml:space="preserve">which have </w:t>
      </w:r>
      <w:r w:rsidRPr="008D5996">
        <w:rPr>
          <w:rFonts w:ascii="Arial" w:eastAsia="Arial" w:hAnsi="Arial" w:cs="Times New Roman"/>
          <w:lang w:val="en-IE"/>
        </w:rPr>
        <w:t xml:space="preserve">exhausted </w:t>
      </w:r>
      <w:r>
        <w:rPr>
          <w:rFonts w:ascii="Arial" w:eastAsia="Arial" w:hAnsi="Arial" w:cs="Times New Roman"/>
          <w:lang w:val="en-IE"/>
        </w:rPr>
        <w:t xml:space="preserve">their own </w:t>
      </w:r>
      <w:r w:rsidRPr="008D5996">
        <w:rPr>
          <w:rFonts w:ascii="Arial" w:eastAsia="Arial" w:hAnsi="Arial" w:cs="Times New Roman"/>
          <w:lang w:val="en-IE"/>
        </w:rPr>
        <w:t>share of capacity</w:t>
      </w:r>
      <w:r w:rsidRPr="008D5996" w:rsidDel="00EC6895">
        <w:rPr>
          <w:rFonts w:ascii="Arial" w:eastAsia="Arial" w:hAnsi="Arial" w:cs="Times New Roman"/>
          <w:lang w:val="en-IE"/>
        </w:rPr>
        <w:t xml:space="preserve"> </w:t>
      </w:r>
      <w:r>
        <w:rPr>
          <w:rFonts w:ascii="Arial" w:eastAsia="Arial" w:hAnsi="Arial" w:cs="Times New Roman"/>
          <w:lang w:val="en-IE"/>
        </w:rPr>
        <w:t xml:space="preserve">to access </w:t>
      </w:r>
      <w:r w:rsidRPr="008D5996">
        <w:rPr>
          <w:rFonts w:ascii="Arial" w:eastAsia="Arial" w:hAnsi="Arial" w:cs="Times New Roman"/>
          <w:lang w:val="en-IE"/>
        </w:rPr>
        <w:t xml:space="preserve">other </w:t>
      </w:r>
      <w:r w:rsidR="003C7F67">
        <w:rPr>
          <w:rFonts w:ascii="Arial" w:eastAsia="Arial" w:hAnsi="Arial" w:cs="Times New Roman"/>
          <w:lang w:val="en-IE"/>
        </w:rPr>
        <w:t>co-investors</w:t>
      </w:r>
      <w:r w:rsidR="003C7F67" w:rsidRPr="008D5996">
        <w:rPr>
          <w:rFonts w:ascii="Arial" w:eastAsia="Arial" w:hAnsi="Arial" w:cs="Times New Roman"/>
          <w:lang w:val="en-IE"/>
        </w:rPr>
        <w:t xml:space="preserve">' </w:t>
      </w:r>
      <w:r w:rsidRPr="008D5996">
        <w:rPr>
          <w:rFonts w:ascii="Arial" w:eastAsia="Arial" w:hAnsi="Arial" w:cs="Times New Roman"/>
          <w:lang w:val="en-IE"/>
        </w:rPr>
        <w:t>share of capacity</w:t>
      </w:r>
      <w:r>
        <w:rPr>
          <w:rFonts w:ascii="Arial" w:eastAsia="Arial" w:hAnsi="Arial" w:cs="Times New Roman"/>
          <w:lang w:val="en-IE"/>
        </w:rPr>
        <w:t>.</w:t>
      </w:r>
      <w:r w:rsidRPr="008D5996" w:rsidDel="00EC6895">
        <w:rPr>
          <w:rFonts w:ascii="Arial" w:eastAsia="Arial" w:hAnsi="Arial" w:cs="Times New Roman"/>
          <w:lang w:val="en-IE"/>
        </w:rPr>
        <w:t xml:space="preserve"> </w:t>
      </w:r>
    </w:p>
    <w:p w14:paraId="32838DE2" w14:textId="77777777" w:rsidR="00C278CC" w:rsidRDefault="00C278CC" w:rsidP="00223319">
      <w:pPr>
        <w:pStyle w:val="ListParagraph"/>
        <w:numPr>
          <w:ilvl w:val="0"/>
          <w:numId w:val="47"/>
        </w:numPr>
        <w:spacing w:after="60"/>
        <w:contextualSpacing w:val="0"/>
        <w:rPr>
          <w:rFonts w:ascii="Arial" w:eastAsia="Arial" w:hAnsi="Arial" w:cs="Times New Roman"/>
          <w:lang w:val="en-IE"/>
        </w:rPr>
      </w:pPr>
      <w:r>
        <w:rPr>
          <w:rFonts w:ascii="Arial" w:eastAsia="Arial" w:hAnsi="Arial" w:cs="Times New Roman"/>
          <w:lang w:val="en-IE"/>
        </w:rPr>
        <w:t>It</w:t>
      </w:r>
      <w:r w:rsidRPr="008D5996">
        <w:rPr>
          <w:rFonts w:ascii="Arial" w:eastAsia="Arial" w:hAnsi="Arial" w:cs="Times New Roman"/>
          <w:lang w:val="en-IE"/>
        </w:rPr>
        <w:t xml:space="preserve"> is recognised that </w:t>
      </w:r>
      <w:r>
        <w:rPr>
          <w:rFonts w:ascii="Arial" w:eastAsia="Arial" w:hAnsi="Arial" w:cs="Times New Roman"/>
          <w:lang w:val="en-IE"/>
        </w:rPr>
        <w:t>the requirement to provide flexibility to increase participation could raise issues once rights to the capacity of the new VHCN are fully allocated. P</w:t>
      </w:r>
      <w:r w:rsidRPr="008D5996">
        <w:rPr>
          <w:rFonts w:ascii="Arial" w:eastAsia="Arial" w:hAnsi="Arial" w:cs="Times New Roman"/>
          <w:lang w:val="en-IE"/>
        </w:rPr>
        <w:t xml:space="preserve">articipants seeking to </w:t>
      </w:r>
      <w:r>
        <w:rPr>
          <w:rFonts w:ascii="Arial" w:eastAsia="Arial" w:hAnsi="Arial" w:cs="Times New Roman"/>
          <w:lang w:val="en-IE"/>
        </w:rPr>
        <w:t xml:space="preserve">join the co-investment offer or </w:t>
      </w:r>
      <w:r w:rsidRPr="008D5996">
        <w:rPr>
          <w:rFonts w:ascii="Arial" w:eastAsia="Arial" w:hAnsi="Arial" w:cs="Times New Roman"/>
          <w:lang w:val="en-IE"/>
        </w:rPr>
        <w:t xml:space="preserve">increase </w:t>
      </w:r>
      <w:r>
        <w:rPr>
          <w:rFonts w:ascii="Arial" w:eastAsia="Arial" w:hAnsi="Arial" w:cs="Times New Roman"/>
          <w:lang w:val="en-IE"/>
        </w:rPr>
        <w:t xml:space="preserve">their </w:t>
      </w:r>
      <w:r w:rsidRPr="008D5996">
        <w:rPr>
          <w:rFonts w:ascii="Arial" w:eastAsia="Arial" w:hAnsi="Arial" w:cs="Times New Roman"/>
          <w:lang w:val="en-IE"/>
        </w:rPr>
        <w:t xml:space="preserve">share </w:t>
      </w:r>
      <w:r>
        <w:rPr>
          <w:rFonts w:ascii="Arial" w:eastAsia="Arial" w:hAnsi="Arial" w:cs="Times New Roman"/>
          <w:lang w:val="en-IE"/>
        </w:rPr>
        <w:t xml:space="preserve">at a later point in time can only do so by acquiring rights </w:t>
      </w:r>
      <w:r w:rsidRPr="008D5996">
        <w:rPr>
          <w:rFonts w:ascii="Arial" w:eastAsia="Arial" w:hAnsi="Arial" w:cs="Times New Roman"/>
          <w:lang w:val="en-IE"/>
        </w:rPr>
        <w:t xml:space="preserve">from those who already hold it, thus diluting the </w:t>
      </w:r>
      <w:r>
        <w:rPr>
          <w:rFonts w:ascii="Arial" w:eastAsia="Arial" w:hAnsi="Arial" w:cs="Times New Roman"/>
          <w:lang w:val="en-IE"/>
        </w:rPr>
        <w:t xml:space="preserve">rights </w:t>
      </w:r>
      <w:r w:rsidRPr="008D5996">
        <w:rPr>
          <w:rFonts w:ascii="Arial" w:eastAsia="Arial" w:hAnsi="Arial" w:cs="Times New Roman"/>
          <w:lang w:val="en-IE"/>
        </w:rPr>
        <w:t xml:space="preserve">of the latter </w:t>
      </w:r>
      <w:r w:rsidR="003C7F67">
        <w:rPr>
          <w:rFonts w:ascii="Arial" w:eastAsia="Arial" w:hAnsi="Arial" w:cs="Times New Roman"/>
          <w:lang w:val="en-IE"/>
        </w:rPr>
        <w:t>co-investors</w:t>
      </w:r>
      <w:r w:rsidRPr="008D5996">
        <w:rPr>
          <w:rFonts w:ascii="Arial" w:eastAsia="Arial" w:hAnsi="Arial" w:cs="Times New Roman"/>
          <w:lang w:val="en-IE"/>
        </w:rPr>
        <w:t xml:space="preserve">. </w:t>
      </w:r>
      <w:r>
        <w:rPr>
          <w:rFonts w:ascii="Arial" w:eastAsia="Arial" w:hAnsi="Arial" w:cs="Times New Roman"/>
          <w:lang w:val="en-IE"/>
        </w:rPr>
        <w:t xml:space="preserve">There are various approaches the </w:t>
      </w:r>
      <w:r w:rsidRPr="008D5996">
        <w:rPr>
          <w:rFonts w:ascii="Arial" w:eastAsia="Arial" w:hAnsi="Arial" w:cs="Times New Roman"/>
          <w:lang w:val="en-IE"/>
        </w:rPr>
        <w:t>co-investment offer could adopt</w:t>
      </w:r>
      <w:r>
        <w:rPr>
          <w:rFonts w:ascii="Arial" w:eastAsia="Arial" w:hAnsi="Arial" w:cs="Times New Roman"/>
          <w:lang w:val="en-IE"/>
        </w:rPr>
        <w:t xml:space="preserve"> in such a scenario, including arrangements for the reallocation of capacity</w:t>
      </w:r>
      <w:r w:rsidR="00A44ABE">
        <w:rPr>
          <w:rFonts w:ascii="Arial" w:eastAsia="Arial" w:hAnsi="Arial" w:cs="Times New Roman"/>
          <w:lang w:val="en-IE"/>
        </w:rPr>
        <w:t xml:space="preserve"> (t</w:t>
      </w:r>
      <w:r w:rsidR="00A44ABE" w:rsidRPr="00A44ABE">
        <w:rPr>
          <w:rFonts w:ascii="Arial" w:eastAsia="Arial" w:hAnsi="Arial" w:cs="Times New Roman"/>
          <w:lang w:val="en-IE"/>
        </w:rPr>
        <w:t xml:space="preserve">he co-investment offer </w:t>
      </w:r>
      <w:r w:rsidR="00A44ABE">
        <w:rPr>
          <w:rFonts w:ascii="Arial" w:eastAsia="Arial" w:hAnsi="Arial" w:cs="Times New Roman"/>
          <w:lang w:val="en-IE"/>
        </w:rPr>
        <w:t>would then</w:t>
      </w:r>
      <w:r w:rsidR="00A44ABE" w:rsidRPr="00A44ABE">
        <w:rPr>
          <w:rFonts w:ascii="Arial" w:eastAsia="Arial" w:hAnsi="Arial" w:cs="Times New Roman"/>
          <w:lang w:val="en-IE"/>
        </w:rPr>
        <w:t xml:space="preserve"> need to set out the mechanism, including how existing </w:t>
      </w:r>
      <w:r w:rsidR="003C7F67">
        <w:rPr>
          <w:rFonts w:ascii="Arial" w:eastAsia="Arial" w:hAnsi="Arial" w:cs="Times New Roman"/>
          <w:lang w:val="en-IE"/>
        </w:rPr>
        <w:t>co-investors</w:t>
      </w:r>
      <w:r w:rsidR="00A44ABE" w:rsidRPr="00A44ABE">
        <w:rPr>
          <w:rFonts w:ascii="Arial" w:eastAsia="Arial" w:hAnsi="Arial" w:cs="Times New Roman"/>
          <w:lang w:val="en-IE"/>
        </w:rPr>
        <w:t xml:space="preserve"> are to be compensated</w:t>
      </w:r>
      <w:r w:rsidR="00A44ABE">
        <w:rPr>
          <w:rFonts w:ascii="Arial" w:eastAsia="Arial" w:hAnsi="Arial" w:cs="Times New Roman"/>
          <w:lang w:val="en-IE"/>
        </w:rPr>
        <w:t>)</w:t>
      </w:r>
      <w:r>
        <w:rPr>
          <w:rFonts w:ascii="Arial" w:eastAsia="Arial" w:hAnsi="Arial" w:cs="Times New Roman"/>
          <w:lang w:val="en-IE"/>
        </w:rPr>
        <w:t>, and potentially extended to placing limits of the degree of flexibility offered.</w:t>
      </w:r>
      <w:r w:rsidR="00A44ABE">
        <w:rPr>
          <w:rFonts w:ascii="Arial" w:eastAsia="Arial" w:hAnsi="Arial" w:cs="Times New Roman"/>
          <w:lang w:val="en-IE"/>
        </w:rPr>
        <w:t xml:space="preserve"> </w:t>
      </w:r>
      <w:r>
        <w:rPr>
          <w:rFonts w:ascii="Arial" w:eastAsia="Arial" w:hAnsi="Arial" w:cs="Times New Roman"/>
          <w:lang w:val="en-IE"/>
        </w:rPr>
        <w:t xml:space="preserve">In assessing whether the offer meets the requirements of Article 76, </w:t>
      </w:r>
      <w:r w:rsidRPr="008D5996">
        <w:rPr>
          <w:rFonts w:ascii="Arial" w:eastAsia="Arial" w:hAnsi="Arial" w:cs="Times New Roman"/>
          <w:lang w:val="en-IE"/>
        </w:rPr>
        <w:t xml:space="preserve">NRAs will need to consider whether the approach adopted is appropriate, bearing </w:t>
      </w:r>
      <w:r w:rsidRPr="0024179B">
        <w:rPr>
          <w:rFonts w:ascii="Arial" w:eastAsia="Arial" w:hAnsi="Arial" w:cs="Times New Roman"/>
          <w:lang w:val="en-IE"/>
        </w:rPr>
        <w:t>always</w:t>
      </w:r>
      <w:r>
        <w:rPr>
          <w:rFonts w:ascii="Arial" w:eastAsia="Arial" w:hAnsi="Arial" w:cs="Times New Roman"/>
          <w:lang w:val="en-IE"/>
        </w:rPr>
        <w:t xml:space="preserve"> </w:t>
      </w:r>
      <w:r w:rsidRPr="008D5996">
        <w:rPr>
          <w:rFonts w:ascii="Arial" w:eastAsia="Arial" w:hAnsi="Arial" w:cs="Times New Roman"/>
          <w:lang w:val="en-IE"/>
        </w:rPr>
        <w:t xml:space="preserve">in mind the aim of </w:t>
      </w:r>
      <w:r>
        <w:rPr>
          <w:rFonts w:ascii="Arial" w:eastAsia="Arial" w:hAnsi="Arial" w:cs="Times New Roman"/>
          <w:lang w:val="en-IE"/>
        </w:rPr>
        <w:t>enabling</w:t>
      </w:r>
      <w:r w:rsidRPr="008D5996">
        <w:rPr>
          <w:rFonts w:ascii="Arial" w:eastAsia="Arial" w:hAnsi="Arial" w:cs="Times New Roman"/>
          <w:lang w:val="en-IE"/>
        </w:rPr>
        <w:t xml:space="preserve"> effective and sustainable long-term competition downstream.</w:t>
      </w:r>
    </w:p>
    <w:p w14:paraId="7BE6DF1B" w14:textId="77777777" w:rsidR="00C278CC" w:rsidRPr="0088190B" w:rsidRDefault="00C278CC" w:rsidP="00482CB7">
      <w:pPr>
        <w:pStyle w:val="ListParagraph"/>
        <w:numPr>
          <w:ilvl w:val="0"/>
          <w:numId w:val="47"/>
        </w:numPr>
        <w:tabs>
          <w:tab w:val="left" w:pos="1170"/>
        </w:tabs>
        <w:spacing w:after="240"/>
        <w:rPr>
          <w:rFonts w:ascii="Arial" w:eastAsia="Arial" w:hAnsi="Arial" w:cs="Times New Roman"/>
          <w:lang w:val="en-IE"/>
        </w:rPr>
      </w:pPr>
      <w:r>
        <w:rPr>
          <w:rFonts w:ascii="Arial" w:eastAsia="Arial" w:hAnsi="Arial" w:cs="Times New Roman"/>
          <w:lang w:val="en-IE"/>
        </w:rPr>
        <w:t xml:space="preserve">Finally, </w:t>
      </w:r>
      <w:r w:rsidRPr="00CE5EAD">
        <w:rPr>
          <w:rFonts w:ascii="Arial" w:eastAsia="Arial" w:hAnsi="Arial" w:cs="Times New Roman"/>
          <w:lang w:val="en-IE"/>
        </w:rPr>
        <w:t>BEREC considers that the level of participation of a provider of electronic communications networks and/or services</w:t>
      </w:r>
      <w:r w:rsidR="001B7388">
        <w:rPr>
          <w:rFonts w:ascii="Arial" w:eastAsia="Arial" w:hAnsi="Arial" w:cs="Times New Roman"/>
          <w:lang w:val="en-IE"/>
        </w:rPr>
        <w:t xml:space="preserve"> </w:t>
      </w:r>
      <w:r w:rsidRPr="00CE5EAD">
        <w:rPr>
          <w:rFonts w:ascii="Arial" w:eastAsia="Arial" w:hAnsi="Arial" w:cs="Times New Roman"/>
          <w:lang w:val="en-IE"/>
        </w:rPr>
        <w:t xml:space="preserve">should not place a limit on the retail market share which they may compete for. This is because such limits could result in an outcome where the retail market is </w:t>
      </w:r>
      <w:r w:rsidR="00036D7F" w:rsidRPr="002510B0">
        <w:rPr>
          <w:rFonts w:ascii="Arial" w:eastAsia="Arial" w:hAnsi="Arial" w:cs="Times New Roman"/>
          <w:i/>
          <w:lang w:val="en-IE"/>
        </w:rPr>
        <w:t>de facto</w:t>
      </w:r>
      <w:r w:rsidR="00036D7F" w:rsidRPr="00CE5EAD">
        <w:rPr>
          <w:rFonts w:ascii="Arial" w:eastAsia="Arial" w:hAnsi="Arial" w:cs="Times New Roman"/>
          <w:lang w:val="en-IE"/>
        </w:rPr>
        <w:t xml:space="preserve"> </w:t>
      </w:r>
      <w:r w:rsidRPr="00CE5EAD">
        <w:rPr>
          <w:rFonts w:ascii="Arial" w:eastAsia="Arial" w:hAnsi="Arial" w:cs="Times New Roman"/>
          <w:lang w:val="en-IE"/>
        </w:rPr>
        <w:t>shared between co-investors, and such an outcome would run counter to the aim of promoting effective and sustainable long term competition at the downstream level.</w:t>
      </w:r>
    </w:p>
    <w:p w14:paraId="6309FE00" w14:textId="77777777" w:rsidR="00C278CC" w:rsidRPr="00CD7C49" w:rsidRDefault="00C278CC" w:rsidP="002510B0">
      <w:pPr>
        <w:keepNext/>
        <w:keepLines/>
        <w:numPr>
          <w:ilvl w:val="2"/>
          <w:numId w:val="22"/>
        </w:numPr>
        <w:spacing w:before="40" w:after="120"/>
        <w:outlineLvl w:val="2"/>
        <w:rPr>
          <w:rFonts w:ascii="Arial" w:eastAsia="Arial" w:hAnsi="Arial" w:cs="Times New Roman"/>
          <w:b/>
          <w:bCs/>
          <w:color w:val="000000"/>
          <w:sz w:val="24"/>
          <w:lang w:val="fr-FR"/>
        </w:rPr>
      </w:pPr>
      <w:bookmarkStart w:id="172" w:name="_Toc36816376"/>
      <w:bookmarkStart w:id="173" w:name="_Toc36030382"/>
      <w:bookmarkStart w:id="174" w:name="_Toc38464094"/>
      <w:r w:rsidRPr="00CD7C49">
        <w:rPr>
          <w:rFonts w:ascii="Arial" w:eastAsia="Arial" w:hAnsi="Arial" w:cs="Times New Roman"/>
          <w:b/>
          <w:bCs/>
          <w:color w:val="000000"/>
          <w:sz w:val="24"/>
          <w:lang w:val="fr-FR"/>
        </w:rPr>
        <w:t xml:space="preserve">Guidelines on Article 76 Par 1 Point B) (IV) </w:t>
      </w:r>
      <w:bookmarkEnd w:id="172"/>
      <w:bookmarkEnd w:id="173"/>
      <w:bookmarkEnd w:id="174"/>
    </w:p>
    <w:p w14:paraId="1162351F" w14:textId="77777777" w:rsidR="00C278CC" w:rsidRPr="00565BB9" w:rsidRDefault="00C278CC" w:rsidP="00C278CC">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b/>
          <w:lang w:val="en-IE"/>
        </w:rPr>
        <w:t>Point b) (iv):</w:t>
      </w:r>
      <w:r w:rsidRPr="00565BB9">
        <w:rPr>
          <w:rFonts w:ascii="Arial" w:eastAsia="Arial" w:hAnsi="Arial" w:cs="Times New Roman"/>
          <w:lang w:val="en-IE"/>
        </w:rPr>
        <w:t xml:space="preserve"> “</w:t>
      </w:r>
      <w:r w:rsidRPr="00565BB9">
        <w:rPr>
          <w:rFonts w:ascii="Arial" w:eastAsia="Arial" w:hAnsi="Arial" w:cs="Times New Roman"/>
          <w:i/>
          <w:lang w:val="en-IE"/>
        </w:rPr>
        <w:t>reciprocal rights awarded by the co-investors after the deployment of the co-invested infrastructure</w:t>
      </w:r>
      <w:r w:rsidRPr="00565BB9">
        <w:rPr>
          <w:rFonts w:ascii="Arial" w:eastAsia="Arial" w:hAnsi="Arial" w:cs="Times New Roman"/>
          <w:lang w:val="en-IE"/>
        </w:rPr>
        <w:t>;”</w:t>
      </w:r>
    </w:p>
    <w:p w14:paraId="7F9CA80C" w14:textId="77777777" w:rsidR="00C278CC" w:rsidRPr="008D5996" w:rsidRDefault="00C278CC" w:rsidP="00482CB7">
      <w:pPr>
        <w:pStyle w:val="ListParagraph"/>
        <w:numPr>
          <w:ilvl w:val="0"/>
          <w:numId w:val="47"/>
        </w:numPr>
        <w:spacing w:after="60"/>
        <w:contextualSpacing w:val="0"/>
        <w:rPr>
          <w:rFonts w:ascii="Arial" w:eastAsia="Arial" w:hAnsi="Arial" w:cs="Times New Roman"/>
          <w:lang w:val="en-IE"/>
        </w:rPr>
      </w:pPr>
      <w:r w:rsidRPr="00C756B9">
        <w:rPr>
          <w:rFonts w:ascii="Arial" w:eastAsia="Arial" w:hAnsi="Arial" w:cs="Times New Roman"/>
          <w:lang w:val="en-IE"/>
        </w:rPr>
        <w:t xml:space="preserve">Reciprocal rights are of particular importance in the reciprocal access model. For example, where co-investors are individually and separately responsible for the </w:t>
      </w:r>
      <w:r w:rsidRPr="00BD02F9">
        <w:rPr>
          <w:rFonts w:ascii="Arial" w:eastAsia="Arial" w:hAnsi="Arial" w:cs="Times New Roman"/>
          <w:lang w:val="en-IE"/>
        </w:rPr>
        <w:t>deployment of specific parts of the network, reciprocal rights of access to the co-invested infrastructure should be granted for the purposes of providing services downstream, including to end-users</w:t>
      </w:r>
      <w:r w:rsidRPr="00565BB9">
        <w:rPr>
          <w:vertAlign w:val="superscript"/>
          <w:lang w:val="en-IE"/>
        </w:rPr>
        <w:footnoteReference w:id="43"/>
      </w:r>
      <w:r w:rsidRPr="00C756B9">
        <w:rPr>
          <w:rFonts w:ascii="Arial" w:eastAsia="Arial" w:hAnsi="Arial" w:cs="Times New Roman"/>
          <w:lang w:val="en-IE"/>
        </w:rPr>
        <w:t>.</w:t>
      </w:r>
      <w:r>
        <w:rPr>
          <w:rFonts w:ascii="Arial" w:eastAsia="Arial" w:hAnsi="Arial" w:cs="Times New Roman"/>
          <w:lang w:val="en-IE"/>
        </w:rPr>
        <w:t xml:space="preserve"> However, reciprocal rights may also be relevant in other co-investment models.</w:t>
      </w:r>
    </w:p>
    <w:p w14:paraId="37E7C0A2" w14:textId="1992E54E" w:rsidR="00C278CC" w:rsidRDefault="00C278CC" w:rsidP="00482CB7">
      <w:pPr>
        <w:pStyle w:val="ListParagraph"/>
        <w:numPr>
          <w:ilvl w:val="0"/>
          <w:numId w:val="47"/>
        </w:numPr>
        <w:spacing w:after="60"/>
        <w:contextualSpacing w:val="0"/>
        <w:rPr>
          <w:rFonts w:ascii="Arial" w:eastAsia="Arial" w:hAnsi="Arial" w:cs="Times New Roman"/>
          <w:lang w:val="en-IE"/>
        </w:rPr>
      </w:pPr>
      <w:r w:rsidRPr="008D5996">
        <w:rPr>
          <w:rFonts w:ascii="Arial" w:eastAsia="Arial" w:hAnsi="Arial" w:cs="Times New Roman"/>
          <w:lang w:val="en-IE"/>
        </w:rPr>
        <w:t xml:space="preserve">Annex IV requires that </w:t>
      </w:r>
      <w:r>
        <w:rPr>
          <w:rFonts w:ascii="Arial" w:eastAsia="Arial" w:hAnsi="Arial" w:cs="Times New Roman"/>
          <w:lang w:val="en-IE"/>
        </w:rPr>
        <w:t xml:space="preserve">if a co-investment </w:t>
      </w:r>
      <w:r w:rsidRPr="00F3577F">
        <w:rPr>
          <w:rFonts w:ascii="Arial" w:eastAsia="Arial" w:hAnsi="Arial" w:cs="Times New Roman"/>
          <w:lang w:val="en-IE"/>
        </w:rPr>
        <w:t>vehicle</w:t>
      </w:r>
      <w:r>
        <w:rPr>
          <w:rFonts w:ascii="Arial" w:eastAsia="Arial" w:hAnsi="Arial" w:cs="Times New Roman"/>
          <w:lang w:val="en-IE"/>
        </w:rPr>
        <w:t xml:space="preserve"> is created, it shall provide</w:t>
      </w:r>
      <w:r w:rsidRPr="008D5996">
        <w:rPr>
          <w:rFonts w:ascii="Arial" w:eastAsia="Arial" w:hAnsi="Arial" w:cs="Times New Roman"/>
          <w:lang w:val="en-IE"/>
        </w:rPr>
        <w:t xml:space="preserve"> access to the network to all co-investors, whether directly or indirectly, on an equivalence of inputs basis </w:t>
      </w:r>
      <w:r w:rsidRPr="008D5996">
        <w:rPr>
          <w:rFonts w:ascii="Arial" w:eastAsia="Arial" w:hAnsi="Arial" w:cs="Times New Roman"/>
          <w:lang w:val="en-IE"/>
        </w:rPr>
        <w:lastRenderedPageBreak/>
        <w:t xml:space="preserve">and in accordance with fair and reasonable terms and conditions. This implies that the terms of access should be </w:t>
      </w:r>
      <w:r>
        <w:rPr>
          <w:rFonts w:ascii="Arial" w:eastAsia="Arial" w:hAnsi="Arial" w:cs="Times New Roman"/>
          <w:lang w:val="en-IE"/>
        </w:rPr>
        <w:t>non-discriminatory</w:t>
      </w:r>
      <w:r w:rsidRPr="008D5996">
        <w:rPr>
          <w:rFonts w:ascii="Arial" w:eastAsia="Arial" w:hAnsi="Arial" w:cs="Times New Roman"/>
          <w:lang w:val="en-IE"/>
        </w:rPr>
        <w:t xml:space="preserve"> </w:t>
      </w:r>
      <w:r>
        <w:rPr>
          <w:rFonts w:ascii="Arial" w:eastAsia="Arial" w:hAnsi="Arial" w:cs="Times New Roman"/>
          <w:lang w:val="en-IE"/>
        </w:rPr>
        <w:t xml:space="preserve">between </w:t>
      </w:r>
      <w:r w:rsidR="003C7F67">
        <w:rPr>
          <w:rFonts w:ascii="Arial" w:eastAsia="Arial" w:hAnsi="Arial" w:cs="Times New Roman"/>
          <w:lang w:val="en-IE"/>
        </w:rPr>
        <w:t>co-investors</w:t>
      </w:r>
      <w:r w:rsidRPr="008D5996">
        <w:rPr>
          <w:rFonts w:ascii="Arial" w:eastAsia="Arial" w:hAnsi="Arial" w:cs="Times New Roman"/>
          <w:lang w:val="en-IE"/>
        </w:rPr>
        <w:t>, irrespective of their value share.</w:t>
      </w:r>
      <w:r>
        <w:rPr>
          <w:rStyle w:val="FootnoteReference"/>
          <w:rFonts w:ascii="Arial" w:eastAsia="Arial" w:hAnsi="Arial" w:cs="Times New Roman"/>
          <w:lang w:val="en-IE"/>
        </w:rPr>
        <w:footnoteReference w:id="44"/>
      </w:r>
      <w:r>
        <w:rPr>
          <w:rFonts w:ascii="Arial" w:eastAsia="Arial" w:hAnsi="Arial" w:cs="Times New Roman"/>
          <w:lang w:val="en-IE"/>
        </w:rPr>
        <w:t>.</w:t>
      </w:r>
    </w:p>
    <w:p w14:paraId="50D5CC76" w14:textId="78D0B229" w:rsidR="00C278CC" w:rsidRPr="00325A93" w:rsidRDefault="00C278CC" w:rsidP="00DE2901">
      <w:pPr>
        <w:pStyle w:val="ListParagraph"/>
        <w:numPr>
          <w:ilvl w:val="0"/>
          <w:numId w:val="47"/>
        </w:numPr>
        <w:tabs>
          <w:tab w:val="left" w:pos="1170"/>
        </w:tabs>
        <w:rPr>
          <w:rFonts w:ascii="Arial" w:eastAsia="Arial" w:hAnsi="Arial" w:cs="Times New Roman"/>
          <w:lang w:val="en-IE"/>
        </w:rPr>
      </w:pPr>
      <w:r w:rsidRPr="00325A93">
        <w:rPr>
          <w:rFonts w:ascii="Arial" w:eastAsia="Arial" w:hAnsi="Arial" w:cs="Times New Roman"/>
          <w:lang w:val="en-IE"/>
        </w:rPr>
        <w:t>In principle, where reciprocal rights are granted between equal co-investors, the terms should be identical. Any differences should be objectively justified. For example, as discussed under point b</w:t>
      </w:r>
      <w:r w:rsidR="00EC6899" w:rsidRPr="00325A93">
        <w:rPr>
          <w:rFonts w:ascii="Arial" w:eastAsia="Arial" w:hAnsi="Arial" w:cs="Times New Roman"/>
          <w:lang w:val="en-IE"/>
        </w:rPr>
        <w:t xml:space="preserve"> </w:t>
      </w:r>
      <w:r w:rsidRPr="00325A93">
        <w:rPr>
          <w:rFonts w:ascii="Arial" w:eastAsia="Arial" w:hAnsi="Arial" w:cs="Times New Roman"/>
          <w:lang w:val="en-IE"/>
        </w:rPr>
        <w:t>(i), differences in terms may be justified to reflect differences in the level of risk accepted and agreed upon by the individual co-investors.</w:t>
      </w:r>
    </w:p>
    <w:p w14:paraId="35119AE4" w14:textId="77777777" w:rsidR="00F14E7D" w:rsidRPr="002510B0" w:rsidRDefault="00F14E7D" w:rsidP="00F14E7D">
      <w:pPr>
        <w:keepNext/>
        <w:keepLines/>
        <w:numPr>
          <w:ilvl w:val="1"/>
          <w:numId w:val="22"/>
        </w:numPr>
        <w:spacing w:before="240" w:after="120"/>
        <w:outlineLvl w:val="1"/>
        <w:rPr>
          <w:rFonts w:ascii="Arial" w:eastAsia="Times New Roman" w:hAnsi="Arial" w:cs="Times New Roman"/>
          <w:b/>
          <w:bCs/>
          <w:caps/>
          <w:color w:val="000000"/>
          <w:sz w:val="28"/>
          <w:szCs w:val="26"/>
          <w:lang w:val="fr-FR"/>
        </w:rPr>
      </w:pPr>
      <w:bookmarkStart w:id="175" w:name="_Toc36816377"/>
      <w:bookmarkStart w:id="176" w:name="_Toc36030383"/>
      <w:bookmarkStart w:id="177" w:name="_Toc38464095"/>
      <w:r w:rsidRPr="002510B0">
        <w:rPr>
          <w:rFonts w:ascii="Arial" w:eastAsia="Times New Roman" w:hAnsi="Arial" w:cs="Times New Roman"/>
          <w:b/>
          <w:bCs/>
          <w:color w:val="000000"/>
          <w:sz w:val="28"/>
          <w:szCs w:val="26"/>
          <w:lang w:val="fr-FR"/>
        </w:rPr>
        <w:t xml:space="preserve">Guidelines on Article 76 Par 1 Point C) </w:t>
      </w:r>
      <w:bookmarkEnd w:id="175"/>
      <w:bookmarkEnd w:id="176"/>
      <w:bookmarkEnd w:id="177"/>
    </w:p>
    <w:p w14:paraId="7F6FF65D" w14:textId="77777777" w:rsidR="00D25473" w:rsidRPr="00565BB9" w:rsidRDefault="00D25473" w:rsidP="00D25473">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b/>
          <w:lang w:val="en-IE"/>
        </w:rPr>
        <w:t>Point c)</w:t>
      </w:r>
    </w:p>
    <w:p w14:paraId="054B5050" w14:textId="77777777" w:rsidR="00D25473" w:rsidRPr="00565BB9" w:rsidRDefault="00D25473" w:rsidP="002510B0">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565BB9">
        <w:rPr>
          <w:rFonts w:ascii="Arial" w:eastAsia="Arial" w:hAnsi="Arial" w:cs="Times New Roman"/>
          <w:lang w:val="en-IE"/>
        </w:rPr>
        <w:t>“</w:t>
      </w:r>
      <w:r w:rsidRPr="00565BB9">
        <w:rPr>
          <w:rFonts w:ascii="Arial" w:eastAsia="Arial" w:hAnsi="Arial" w:cs="Times New Roman"/>
          <w:i/>
          <w:lang w:val="en-IE"/>
        </w:rPr>
        <w:t>it is made public by the undertaking in a timely manner and, if the undertaking does not have the characteristics listed in Article 80(1), at least six months before the start of the deployment of the new network; that period may be prolonged based on national circumstances</w:t>
      </w:r>
      <w:r w:rsidRPr="00565BB9">
        <w:rPr>
          <w:rFonts w:ascii="Arial" w:eastAsia="Arial" w:hAnsi="Arial" w:cs="Times New Roman"/>
          <w:lang w:val="en-IE"/>
        </w:rPr>
        <w:t xml:space="preserve">;” </w:t>
      </w:r>
    </w:p>
    <w:p w14:paraId="3554D0B9" w14:textId="0E02FAE9" w:rsidR="00D25473" w:rsidRPr="008D5996" w:rsidRDefault="00D25473" w:rsidP="00482CB7">
      <w:pPr>
        <w:pStyle w:val="ListParagraph"/>
        <w:numPr>
          <w:ilvl w:val="0"/>
          <w:numId w:val="47"/>
        </w:numPr>
        <w:spacing w:after="60"/>
        <w:contextualSpacing w:val="0"/>
        <w:rPr>
          <w:rFonts w:ascii="Arial" w:eastAsia="Calibri" w:hAnsi="Arial" w:cs="Arial"/>
          <w:lang w:val="en-GB"/>
        </w:rPr>
      </w:pPr>
      <w:r w:rsidRPr="008D5996">
        <w:rPr>
          <w:rFonts w:ascii="Arial" w:eastAsia="Calibri" w:hAnsi="Arial" w:cs="Arial"/>
          <w:lang w:val="en-GB"/>
        </w:rPr>
        <w:t>According to Art</w:t>
      </w:r>
      <w:r>
        <w:rPr>
          <w:rFonts w:ascii="Arial" w:eastAsia="Calibri" w:hAnsi="Arial" w:cs="Arial"/>
          <w:lang w:val="en-GB"/>
        </w:rPr>
        <w:t>icle</w:t>
      </w:r>
      <w:r w:rsidRPr="008D5996">
        <w:rPr>
          <w:rFonts w:ascii="Arial" w:eastAsia="Calibri" w:hAnsi="Arial" w:cs="Arial"/>
          <w:lang w:val="en-GB"/>
        </w:rPr>
        <w:t xml:space="preserve"> 76(1)(c), when NRAs assess – following the procedure set in </w:t>
      </w:r>
      <w:r>
        <w:rPr>
          <w:rFonts w:ascii="Arial" w:eastAsia="Calibri" w:hAnsi="Arial" w:cs="Arial"/>
          <w:lang w:val="en-GB"/>
        </w:rPr>
        <w:t>A</w:t>
      </w:r>
      <w:r w:rsidRPr="008D5996">
        <w:rPr>
          <w:rFonts w:ascii="Arial" w:eastAsia="Calibri" w:hAnsi="Arial" w:cs="Arial"/>
          <w:lang w:val="en-GB"/>
        </w:rPr>
        <w:t>rt</w:t>
      </w:r>
      <w:r>
        <w:rPr>
          <w:rFonts w:ascii="Arial" w:eastAsia="Calibri" w:hAnsi="Arial" w:cs="Arial"/>
          <w:lang w:val="en-GB"/>
        </w:rPr>
        <w:t>icle</w:t>
      </w:r>
      <w:r w:rsidRPr="008D5996">
        <w:rPr>
          <w:rFonts w:ascii="Arial" w:eastAsia="Calibri" w:hAnsi="Arial" w:cs="Arial"/>
          <w:lang w:val="en-GB"/>
        </w:rPr>
        <w:t xml:space="preserve"> 79 – the commitments on co-investment offered by the SMP operator, they should </w:t>
      </w:r>
      <w:r>
        <w:rPr>
          <w:rFonts w:ascii="Arial" w:eastAsia="Calibri" w:hAnsi="Arial" w:cs="Arial"/>
          <w:lang w:val="en-GB"/>
        </w:rPr>
        <w:t>assess</w:t>
      </w:r>
      <w:r w:rsidRPr="008D5996">
        <w:rPr>
          <w:rFonts w:ascii="Arial" w:eastAsia="Calibri" w:hAnsi="Arial" w:cs="Arial"/>
          <w:lang w:val="en-GB"/>
        </w:rPr>
        <w:t xml:space="preserve">, among other conditions, </w:t>
      </w:r>
      <w:r>
        <w:rPr>
          <w:rFonts w:ascii="Arial" w:eastAsia="Calibri" w:hAnsi="Arial" w:cs="Arial"/>
          <w:lang w:val="en-GB"/>
        </w:rPr>
        <w:t xml:space="preserve">that </w:t>
      </w:r>
      <w:r w:rsidRPr="008D5996">
        <w:rPr>
          <w:rFonts w:ascii="Arial" w:eastAsia="Calibri" w:hAnsi="Arial" w:cs="Arial"/>
          <w:lang w:val="en-GB"/>
        </w:rPr>
        <w:t xml:space="preserve">the </w:t>
      </w:r>
      <w:r>
        <w:rPr>
          <w:rFonts w:ascii="Arial" w:eastAsia="Calibri" w:hAnsi="Arial" w:cs="Arial"/>
          <w:lang w:val="en-GB"/>
        </w:rPr>
        <w:t xml:space="preserve">publication of the </w:t>
      </w:r>
      <w:r w:rsidRPr="008D5996">
        <w:rPr>
          <w:rFonts w:ascii="Arial" w:eastAsia="Calibri" w:hAnsi="Arial" w:cs="Arial"/>
          <w:lang w:val="en-GB"/>
        </w:rPr>
        <w:t xml:space="preserve">offer to co-invest </w:t>
      </w:r>
      <w:r>
        <w:rPr>
          <w:rFonts w:ascii="Arial" w:eastAsia="Calibri" w:hAnsi="Arial" w:cs="Arial"/>
          <w:lang w:val="en-GB"/>
        </w:rPr>
        <w:t xml:space="preserve">is done </w:t>
      </w:r>
      <w:r w:rsidRPr="008E7630">
        <w:rPr>
          <w:rFonts w:ascii="Arial" w:hAnsi="Arial"/>
          <w:lang w:val="en-GB"/>
        </w:rPr>
        <w:t>in a timely manner</w:t>
      </w:r>
      <w:r w:rsidRPr="008D5996">
        <w:rPr>
          <w:rFonts w:ascii="Arial" w:eastAsia="Calibri" w:hAnsi="Arial" w:cs="Arial"/>
          <w:lang w:val="en-GB"/>
        </w:rPr>
        <w:t xml:space="preserve">. </w:t>
      </w:r>
    </w:p>
    <w:p w14:paraId="11D823E0" w14:textId="46B36A31" w:rsidR="00D25473" w:rsidRDefault="00D25473" w:rsidP="00482CB7">
      <w:pPr>
        <w:pStyle w:val="ListParagraph"/>
        <w:numPr>
          <w:ilvl w:val="0"/>
          <w:numId w:val="47"/>
        </w:numPr>
        <w:spacing w:after="60"/>
        <w:contextualSpacing w:val="0"/>
        <w:rPr>
          <w:rFonts w:ascii="Arial" w:eastAsia="Calibri" w:hAnsi="Arial" w:cs="Arial"/>
          <w:lang w:val="en-GB"/>
        </w:rPr>
      </w:pPr>
      <w:r w:rsidRPr="008D5996">
        <w:rPr>
          <w:rFonts w:ascii="Arial" w:eastAsia="Calibri" w:hAnsi="Arial" w:cs="Arial"/>
          <w:lang w:val="en-GB"/>
        </w:rPr>
        <w:t xml:space="preserve">The aim of this provision is to allow the </w:t>
      </w:r>
      <w:r>
        <w:rPr>
          <w:rFonts w:ascii="Arial" w:eastAsia="Calibri" w:hAnsi="Arial" w:cs="Arial"/>
          <w:lang w:val="en-GB"/>
        </w:rPr>
        <w:t xml:space="preserve">potentially </w:t>
      </w:r>
      <w:r w:rsidRPr="008D5996">
        <w:rPr>
          <w:rFonts w:ascii="Arial" w:eastAsia="Calibri" w:hAnsi="Arial" w:cs="Arial"/>
          <w:lang w:val="en-GB"/>
        </w:rPr>
        <w:t xml:space="preserve">interested </w:t>
      </w:r>
      <w:r w:rsidRPr="005A203A">
        <w:rPr>
          <w:rFonts w:ascii="Arial" w:eastAsia="Calibri" w:hAnsi="Arial" w:cs="Arial"/>
          <w:lang w:val="en-GB"/>
        </w:rPr>
        <w:t xml:space="preserve">providers of electronic communications networks and/or services </w:t>
      </w:r>
      <w:r w:rsidRPr="008D5996">
        <w:rPr>
          <w:rFonts w:ascii="Arial" w:eastAsia="Calibri" w:hAnsi="Arial" w:cs="Arial"/>
          <w:lang w:val="en-GB"/>
        </w:rPr>
        <w:t xml:space="preserve">to participate in the project from the beginning of the deployment </w:t>
      </w:r>
      <w:r>
        <w:rPr>
          <w:rFonts w:ascii="Arial" w:eastAsia="Calibri" w:hAnsi="Arial" w:cs="Arial"/>
          <w:lang w:val="en-GB"/>
        </w:rPr>
        <w:t xml:space="preserve">(i.e. the rollout) </w:t>
      </w:r>
      <w:r w:rsidRPr="008D5996">
        <w:rPr>
          <w:rFonts w:ascii="Arial" w:eastAsia="Calibri" w:hAnsi="Arial" w:cs="Arial"/>
          <w:lang w:val="en-GB"/>
        </w:rPr>
        <w:t>of the new network</w:t>
      </w:r>
      <w:r>
        <w:rPr>
          <w:rFonts w:ascii="Arial" w:eastAsia="Calibri" w:hAnsi="Arial" w:cs="Arial"/>
          <w:lang w:val="en-GB"/>
        </w:rPr>
        <w:t>,</w:t>
      </w:r>
      <w:r w:rsidRPr="008D5996">
        <w:rPr>
          <w:rFonts w:ascii="Arial" w:eastAsia="Calibri" w:hAnsi="Arial" w:cs="Arial"/>
          <w:lang w:val="en-GB"/>
        </w:rPr>
        <w:t xml:space="preserve"> having at their disposal</w:t>
      </w:r>
      <w:r w:rsidR="001B7388">
        <w:rPr>
          <w:rFonts w:ascii="Arial" w:eastAsia="Calibri" w:hAnsi="Arial" w:cs="Arial"/>
          <w:lang w:val="en-GB"/>
        </w:rPr>
        <w:t xml:space="preserve"> </w:t>
      </w:r>
      <w:r w:rsidRPr="008D5996">
        <w:rPr>
          <w:rFonts w:ascii="Arial" w:eastAsia="Calibri" w:hAnsi="Arial" w:cs="Arial"/>
          <w:lang w:val="en-GB"/>
        </w:rPr>
        <w:t>enough time to evaluate all the elements needed to take the most appropriate</w:t>
      </w:r>
      <w:r>
        <w:rPr>
          <w:rFonts w:ascii="Arial" w:eastAsia="Calibri" w:hAnsi="Arial" w:cs="Arial"/>
          <w:lang w:val="en-GB"/>
        </w:rPr>
        <w:t xml:space="preserve"> </w:t>
      </w:r>
      <w:r w:rsidRPr="008D5996">
        <w:rPr>
          <w:rFonts w:ascii="Arial" w:eastAsia="Calibri" w:hAnsi="Arial" w:cs="Arial"/>
          <w:lang w:val="en-GB"/>
        </w:rPr>
        <w:t>decision before the deployment starts</w:t>
      </w:r>
      <w:r>
        <w:rPr>
          <w:rFonts w:ascii="Arial" w:eastAsia="Calibri" w:hAnsi="Arial" w:cs="Arial"/>
          <w:lang w:val="en-GB"/>
        </w:rPr>
        <w:t xml:space="preserve"> and to allow them </w:t>
      </w:r>
      <w:r w:rsidR="008B1FD5">
        <w:rPr>
          <w:rFonts w:ascii="Arial" w:eastAsia="Calibri" w:hAnsi="Arial" w:cs="Arial"/>
          <w:lang w:val="en-GB"/>
        </w:rPr>
        <w:t xml:space="preserve">to </w:t>
      </w:r>
      <w:r>
        <w:rPr>
          <w:rFonts w:ascii="Arial" w:eastAsia="Calibri" w:hAnsi="Arial" w:cs="Arial"/>
          <w:lang w:val="en-GB"/>
        </w:rPr>
        <w:t>compete from the beginning with the SMP operator</w:t>
      </w:r>
      <w:r w:rsidRPr="008D5996">
        <w:rPr>
          <w:rFonts w:ascii="Arial" w:eastAsia="Calibri" w:hAnsi="Arial" w:cs="Arial"/>
          <w:lang w:val="en-GB"/>
        </w:rPr>
        <w:t xml:space="preserve">. The </w:t>
      </w:r>
      <w:r w:rsidR="00E84062">
        <w:rPr>
          <w:rFonts w:ascii="Arial" w:eastAsia="Calibri" w:hAnsi="Arial" w:cs="Arial"/>
          <w:lang w:val="en-GB"/>
        </w:rPr>
        <w:t>EECC</w:t>
      </w:r>
      <w:r w:rsidRPr="008D5996">
        <w:rPr>
          <w:rFonts w:ascii="Arial" w:eastAsia="Calibri" w:hAnsi="Arial" w:cs="Arial"/>
          <w:lang w:val="en-GB"/>
        </w:rPr>
        <w:t xml:space="preserve"> considers appropriate </w:t>
      </w:r>
      <w:r>
        <w:rPr>
          <w:rFonts w:ascii="Arial" w:eastAsia="Calibri" w:hAnsi="Arial" w:cs="Arial"/>
          <w:lang w:val="en-GB"/>
        </w:rPr>
        <w:t xml:space="preserve">that </w:t>
      </w:r>
      <w:r w:rsidRPr="008D5996">
        <w:rPr>
          <w:rFonts w:ascii="Arial" w:eastAsia="Calibri" w:hAnsi="Arial" w:cs="Arial"/>
          <w:lang w:val="en-GB"/>
        </w:rPr>
        <w:t xml:space="preserve">a period of </w:t>
      </w:r>
      <w:r w:rsidRPr="008E7630">
        <w:rPr>
          <w:rFonts w:ascii="Arial" w:hAnsi="Arial"/>
          <w:lang w:val="en-GB"/>
        </w:rPr>
        <w:t>at least six months</w:t>
      </w:r>
      <w:r w:rsidRPr="008D5996">
        <w:rPr>
          <w:rFonts w:ascii="Arial" w:eastAsia="Calibri" w:hAnsi="Arial" w:cs="Arial"/>
          <w:lang w:val="en-GB"/>
        </w:rPr>
        <w:t xml:space="preserve"> </w:t>
      </w:r>
      <w:r>
        <w:rPr>
          <w:rFonts w:ascii="Arial" w:eastAsia="Calibri" w:hAnsi="Arial" w:cs="Arial"/>
          <w:lang w:val="en-GB"/>
        </w:rPr>
        <w:t>is</w:t>
      </w:r>
      <w:r w:rsidRPr="008D5996">
        <w:rPr>
          <w:rFonts w:ascii="Arial" w:eastAsia="Calibri" w:hAnsi="Arial" w:cs="Arial"/>
          <w:lang w:val="en-GB"/>
        </w:rPr>
        <w:t xml:space="preserve"> allow</w:t>
      </w:r>
      <w:r>
        <w:rPr>
          <w:rFonts w:ascii="Arial" w:eastAsia="Calibri" w:hAnsi="Arial" w:cs="Arial"/>
          <w:lang w:val="en-GB"/>
        </w:rPr>
        <w:t xml:space="preserve">ed </w:t>
      </w:r>
      <w:r w:rsidRPr="008D5996">
        <w:rPr>
          <w:rFonts w:ascii="Arial" w:eastAsia="Calibri" w:hAnsi="Arial" w:cs="Arial"/>
          <w:lang w:val="en-GB"/>
        </w:rPr>
        <w:t>to companies</w:t>
      </w:r>
      <w:r>
        <w:rPr>
          <w:rFonts w:ascii="Arial" w:eastAsia="Calibri" w:hAnsi="Arial" w:cs="Arial"/>
          <w:lang w:val="en-GB"/>
        </w:rPr>
        <w:t>,</w:t>
      </w:r>
      <w:r w:rsidRPr="008D5996">
        <w:rPr>
          <w:rFonts w:ascii="Arial" w:eastAsia="Calibri" w:hAnsi="Arial" w:cs="Arial"/>
          <w:lang w:val="en-GB"/>
        </w:rPr>
        <w:t xml:space="preserve"> </w:t>
      </w:r>
      <w:r>
        <w:rPr>
          <w:rFonts w:ascii="Arial" w:eastAsia="Calibri" w:hAnsi="Arial" w:cs="Arial"/>
          <w:lang w:val="en-GB"/>
        </w:rPr>
        <w:t>for these</w:t>
      </w:r>
      <w:r w:rsidRPr="008D5996">
        <w:rPr>
          <w:rFonts w:ascii="Arial" w:eastAsia="Calibri" w:hAnsi="Arial" w:cs="Arial"/>
          <w:lang w:val="en-GB"/>
        </w:rPr>
        <w:t xml:space="preserve"> to carry out all the internal steps needed to participate </w:t>
      </w:r>
      <w:r>
        <w:rPr>
          <w:rFonts w:ascii="Arial" w:eastAsia="Calibri" w:hAnsi="Arial" w:cs="Arial"/>
          <w:lang w:val="en-GB"/>
        </w:rPr>
        <w:t>in</w:t>
      </w:r>
      <w:r w:rsidRPr="008D5996">
        <w:rPr>
          <w:rFonts w:ascii="Arial" w:eastAsia="Calibri" w:hAnsi="Arial" w:cs="Arial"/>
          <w:lang w:val="en-GB"/>
        </w:rPr>
        <w:t xml:space="preserve"> the co-investment project. Nevertheless, </w:t>
      </w:r>
      <w:bookmarkStart w:id="178" w:name="_Hlk15309701"/>
      <w:r w:rsidRPr="008D5996">
        <w:rPr>
          <w:rFonts w:ascii="Arial" w:eastAsia="Calibri" w:hAnsi="Arial" w:cs="Arial"/>
          <w:lang w:val="en-GB"/>
        </w:rPr>
        <w:t xml:space="preserve">each NRA, based on the national circumstances, may </w:t>
      </w:r>
      <w:r w:rsidRPr="0024179B">
        <w:rPr>
          <w:rFonts w:ascii="Arial" w:eastAsia="Calibri" w:hAnsi="Arial" w:cs="Arial"/>
          <w:lang w:val="en-GB"/>
        </w:rPr>
        <w:t>extend</w:t>
      </w:r>
      <w:r w:rsidRPr="008D5996">
        <w:rPr>
          <w:rFonts w:ascii="Arial" w:eastAsia="Calibri" w:hAnsi="Arial" w:cs="Arial"/>
          <w:lang w:val="en-GB"/>
        </w:rPr>
        <w:t xml:space="preserve"> that period under justified reasons in the context of the commitment procedure. The practical declination of the “timely manner” principle is therefore an announcement period </w:t>
      </w:r>
      <w:r>
        <w:rPr>
          <w:rFonts w:ascii="Arial" w:eastAsia="Calibri" w:hAnsi="Arial" w:cs="Arial"/>
          <w:lang w:val="en-GB"/>
        </w:rPr>
        <w:t>for the co-investment offer</w:t>
      </w:r>
      <w:r w:rsidRPr="008D5996">
        <w:rPr>
          <w:rFonts w:ascii="Arial" w:eastAsia="Calibri" w:hAnsi="Arial" w:cs="Arial"/>
          <w:lang w:val="en-GB"/>
        </w:rPr>
        <w:t xml:space="preserve"> not shorter than six months</w:t>
      </w:r>
      <w:r>
        <w:rPr>
          <w:rFonts w:ascii="Arial" w:eastAsia="Calibri" w:hAnsi="Arial" w:cs="Arial"/>
          <w:lang w:val="en-GB"/>
        </w:rPr>
        <w:t xml:space="preserve"> prior to the official start of deployment of the project</w:t>
      </w:r>
      <w:r w:rsidRPr="008D5996">
        <w:rPr>
          <w:rFonts w:ascii="Arial" w:eastAsia="Calibri" w:hAnsi="Arial" w:cs="Arial"/>
          <w:lang w:val="en-GB"/>
        </w:rPr>
        <w:t xml:space="preserve">. </w:t>
      </w:r>
      <w:bookmarkEnd w:id="178"/>
    </w:p>
    <w:p w14:paraId="2BE4F39C" w14:textId="2B392763" w:rsidR="00D25473" w:rsidRPr="008212CD" w:rsidRDefault="00D25473" w:rsidP="00482CB7">
      <w:pPr>
        <w:pStyle w:val="ListParagraph"/>
        <w:numPr>
          <w:ilvl w:val="0"/>
          <w:numId w:val="47"/>
        </w:numPr>
        <w:spacing w:after="60"/>
        <w:contextualSpacing w:val="0"/>
        <w:rPr>
          <w:rFonts w:ascii="Arial" w:eastAsia="Calibri" w:hAnsi="Arial" w:cs="Arial"/>
          <w:lang w:val="en-GB"/>
        </w:rPr>
      </w:pPr>
      <w:r w:rsidRPr="008D5996">
        <w:rPr>
          <w:rFonts w:ascii="Arial" w:eastAsia="Calibri" w:hAnsi="Arial" w:cs="Arial"/>
          <w:iCs/>
          <w:lang w:val="en-GB"/>
        </w:rPr>
        <w:t xml:space="preserve">The period limit of “at least six months” refers only to the case in which the SMP operator is not a </w:t>
      </w:r>
      <w:r w:rsidRPr="008E7630">
        <w:rPr>
          <w:rFonts w:ascii="Arial" w:hAnsi="Arial"/>
          <w:lang w:val="en-GB"/>
        </w:rPr>
        <w:t>wholesale only operator</w:t>
      </w:r>
      <w:r w:rsidRPr="008D5996">
        <w:rPr>
          <w:rFonts w:ascii="Arial" w:eastAsia="Calibri" w:hAnsi="Arial" w:cs="Arial"/>
          <w:b/>
          <w:iCs/>
          <w:lang w:val="en-GB"/>
        </w:rPr>
        <w:t xml:space="preserve">. </w:t>
      </w:r>
      <w:r w:rsidR="008B1FD5">
        <w:rPr>
          <w:rFonts w:ascii="Arial" w:eastAsia="Calibri" w:hAnsi="Arial" w:cs="Arial"/>
          <w:iCs/>
          <w:lang w:val="en-GB"/>
        </w:rPr>
        <w:t>In</w:t>
      </w:r>
      <w:r w:rsidRPr="008D5996">
        <w:rPr>
          <w:rFonts w:ascii="Arial" w:eastAsia="Calibri" w:hAnsi="Arial" w:cs="Arial"/>
          <w:iCs/>
          <w:lang w:val="en-GB"/>
        </w:rPr>
        <w:t xml:space="preserve"> the case of an SMP wholesale only operator, this period could be shorter, absent the advantage of the vertically integrated SMP operator to start retail offers immediately after the deployment</w:t>
      </w:r>
      <w:r>
        <w:rPr>
          <w:rFonts w:ascii="Arial" w:eastAsia="Calibri" w:hAnsi="Arial" w:cs="Arial"/>
          <w:iCs/>
          <w:lang w:val="en-GB"/>
        </w:rPr>
        <w:t>,</w:t>
      </w:r>
      <w:r w:rsidRPr="008D5996">
        <w:rPr>
          <w:rFonts w:ascii="Arial" w:eastAsia="Calibri" w:hAnsi="Arial" w:cs="Arial"/>
          <w:iCs/>
          <w:lang w:val="en-GB"/>
        </w:rPr>
        <w:t xml:space="preserve"> in advance of competitors (all co-investors will be in the same position regarding the launch of retail offers).</w:t>
      </w:r>
    </w:p>
    <w:p w14:paraId="09627A19" w14:textId="0E490C10" w:rsidR="00D25473" w:rsidRPr="008D5996" w:rsidRDefault="00D25473" w:rsidP="00482CB7">
      <w:pPr>
        <w:pStyle w:val="ListParagraph"/>
        <w:numPr>
          <w:ilvl w:val="0"/>
          <w:numId w:val="47"/>
        </w:numPr>
        <w:spacing w:after="60"/>
        <w:contextualSpacing w:val="0"/>
        <w:rPr>
          <w:rFonts w:ascii="Arial" w:eastAsia="Calibri" w:hAnsi="Arial" w:cs="Arial"/>
          <w:lang w:val="en-GB"/>
        </w:rPr>
      </w:pPr>
      <w:r w:rsidRPr="008D5996">
        <w:rPr>
          <w:rFonts w:ascii="Arial" w:eastAsia="Calibri" w:hAnsi="Arial" w:cs="Arial"/>
          <w:lang w:val="en-GB"/>
        </w:rPr>
        <w:t>It is important to clarify how to assess whether the offer to co-invest is made public “in a timely manner”, also considering that this offer will be presented in the context of the complex commitment procedure according to Art</w:t>
      </w:r>
      <w:r>
        <w:rPr>
          <w:rFonts w:ascii="Arial" w:eastAsia="Calibri" w:hAnsi="Arial" w:cs="Arial"/>
          <w:lang w:val="en-GB"/>
        </w:rPr>
        <w:t>icle</w:t>
      </w:r>
      <w:r w:rsidRPr="008D5996">
        <w:rPr>
          <w:rFonts w:ascii="Arial" w:eastAsia="Calibri" w:hAnsi="Arial" w:cs="Arial"/>
          <w:lang w:val="en-GB"/>
        </w:rPr>
        <w:t xml:space="preserve"> 79. </w:t>
      </w:r>
    </w:p>
    <w:p w14:paraId="21F2BD11" w14:textId="343D783D" w:rsidR="00D25473" w:rsidRPr="008D5996" w:rsidRDefault="00D25473" w:rsidP="00482CB7">
      <w:pPr>
        <w:pStyle w:val="ListParagraph"/>
        <w:numPr>
          <w:ilvl w:val="0"/>
          <w:numId w:val="47"/>
        </w:numPr>
        <w:spacing w:after="60"/>
        <w:contextualSpacing w:val="0"/>
        <w:rPr>
          <w:rFonts w:ascii="Arial" w:eastAsia="Calibri" w:hAnsi="Arial" w:cs="Arial"/>
          <w:lang w:val="en-GB"/>
        </w:rPr>
      </w:pPr>
      <w:r w:rsidRPr="008D5996">
        <w:rPr>
          <w:rFonts w:ascii="Arial" w:eastAsia="Calibri" w:hAnsi="Arial" w:cs="Arial"/>
          <w:lang w:val="en-GB"/>
        </w:rPr>
        <w:lastRenderedPageBreak/>
        <w:t>It is clear from the text that the relevant period of</w:t>
      </w:r>
      <w:r>
        <w:rPr>
          <w:rFonts w:ascii="Arial" w:eastAsia="Calibri" w:hAnsi="Arial" w:cs="Arial"/>
          <w:lang w:val="en-GB"/>
        </w:rPr>
        <w:t xml:space="preserve"> at least</w:t>
      </w:r>
      <w:r w:rsidRPr="008D5996">
        <w:rPr>
          <w:rFonts w:ascii="Arial" w:eastAsia="Calibri" w:hAnsi="Arial" w:cs="Arial"/>
          <w:lang w:val="en-GB"/>
        </w:rPr>
        <w:t xml:space="preserve"> six month</w:t>
      </w:r>
      <w:r>
        <w:rPr>
          <w:rFonts w:ascii="Arial" w:eastAsia="Calibri" w:hAnsi="Arial" w:cs="Arial"/>
          <w:lang w:val="en-GB"/>
        </w:rPr>
        <w:t>s</w:t>
      </w:r>
      <w:r w:rsidRPr="008D5996">
        <w:rPr>
          <w:rFonts w:ascii="Arial" w:eastAsia="Calibri" w:hAnsi="Arial" w:cs="Arial"/>
          <w:lang w:val="en-GB"/>
        </w:rPr>
        <w:t xml:space="preserve"> starts from the date of the publication of the co-investment offer and ends when the deployment of the new network starts.</w:t>
      </w:r>
    </w:p>
    <w:p w14:paraId="784C008D" w14:textId="1FFCFFB7" w:rsidR="00D25473" w:rsidRPr="008D5996" w:rsidRDefault="00D25473" w:rsidP="00482CB7">
      <w:pPr>
        <w:pStyle w:val="ListParagraph"/>
        <w:numPr>
          <w:ilvl w:val="0"/>
          <w:numId w:val="47"/>
        </w:numPr>
        <w:spacing w:after="60"/>
        <w:contextualSpacing w:val="0"/>
        <w:rPr>
          <w:rFonts w:ascii="Arial" w:eastAsia="Calibri" w:hAnsi="Arial" w:cs="Arial"/>
          <w:lang w:val="en-GB"/>
        </w:rPr>
      </w:pPr>
      <w:r w:rsidRPr="008D5996">
        <w:rPr>
          <w:rFonts w:ascii="Arial" w:eastAsia="Calibri" w:hAnsi="Arial" w:cs="Arial"/>
          <w:lang w:val="en-GB"/>
        </w:rPr>
        <w:t xml:space="preserve">BEREC’s interpretation regarding the requirement for publication of the co-investment offer is that it mainly aims to ensure transparency. Therefore, for such publication to satisfy the requirements of </w:t>
      </w:r>
      <w:r w:rsidR="00046EDD">
        <w:rPr>
          <w:rFonts w:ascii="Arial" w:eastAsia="Calibri" w:hAnsi="Arial" w:cs="Arial"/>
          <w:lang w:val="en-GB"/>
        </w:rPr>
        <w:t>Article</w:t>
      </w:r>
      <w:r w:rsidRPr="008D5996">
        <w:rPr>
          <w:rFonts w:ascii="Arial" w:eastAsia="Calibri" w:hAnsi="Arial" w:cs="Arial"/>
          <w:lang w:val="en-GB"/>
        </w:rPr>
        <w:t xml:space="preserve"> 76</w:t>
      </w:r>
      <w:r w:rsidR="008B1FD5">
        <w:rPr>
          <w:rFonts w:ascii="Arial" w:eastAsia="Calibri" w:hAnsi="Arial" w:cs="Arial"/>
          <w:lang w:val="en-GB"/>
        </w:rPr>
        <w:t xml:space="preserve"> </w:t>
      </w:r>
      <w:r w:rsidRPr="008D5996">
        <w:rPr>
          <w:rFonts w:ascii="Arial" w:eastAsia="Calibri" w:hAnsi="Arial" w:cs="Arial"/>
          <w:lang w:val="en-GB"/>
        </w:rPr>
        <w:t>(1)</w:t>
      </w:r>
      <w:r>
        <w:rPr>
          <w:rFonts w:ascii="Arial" w:eastAsia="Calibri" w:hAnsi="Arial" w:cs="Arial"/>
          <w:lang w:val="en-GB"/>
        </w:rPr>
        <w:t xml:space="preserve"> </w:t>
      </w:r>
      <w:r w:rsidRPr="008D5996">
        <w:rPr>
          <w:rFonts w:ascii="Arial" w:eastAsia="Calibri" w:hAnsi="Arial" w:cs="Arial"/>
          <w:lang w:val="en-GB"/>
        </w:rPr>
        <w:t xml:space="preserve">(c), it should not be necessary for the offer to be already binding towards stakeholders. </w:t>
      </w:r>
      <w:bookmarkStart w:id="179" w:name="_Hlk22549210"/>
    </w:p>
    <w:p w14:paraId="16BE1716" w14:textId="24015AC2" w:rsidR="00D25473" w:rsidRPr="008D5996" w:rsidRDefault="00D25473" w:rsidP="00482CB7">
      <w:pPr>
        <w:pStyle w:val="ListParagraph"/>
        <w:numPr>
          <w:ilvl w:val="0"/>
          <w:numId w:val="47"/>
        </w:numPr>
        <w:spacing w:after="60"/>
        <w:contextualSpacing w:val="0"/>
        <w:rPr>
          <w:rFonts w:ascii="Arial" w:eastAsia="Calibri" w:hAnsi="Arial" w:cs="Arial"/>
          <w:lang w:val="en-GB"/>
        </w:rPr>
      </w:pPr>
      <w:r w:rsidRPr="008D5996">
        <w:rPr>
          <w:rFonts w:ascii="Arial" w:eastAsia="Calibri" w:hAnsi="Arial" w:cs="Arial"/>
          <w:lang w:val="en-GB"/>
        </w:rPr>
        <w:t xml:space="preserve">The SMP operator may offer commitments under Article 79 of the </w:t>
      </w:r>
      <w:r w:rsidR="00E84062">
        <w:rPr>
          <w:rFonts w:ascii="Arial" w:eastAsia="Calibri" w:hAnsi="Arial" w:cs="Arial"/>
          <w:lang w:val="en-GB"/>
        </w:rPr>
        <w:t>EECC</w:t>
      </w:r>
      <w:r w:rsidRPr="008D5996">
        <w:rPr>
          <w:rFonts w:ascii="Arial" w:eastAsia="Calibri" w:hAnsi="Arial" w:cs="Arial"/>
          <w:lang w:val="en-GB"/>
        </w:rPr>
        <w:t xml:space="preserve"> in relation to a specific co-investment offer in order to obtain the deregulation of the new network. The publication of the co-investment offer can be done at a different time from the offer for commitments to the NRA (before/during/after the commitment procedure). When the SMP operator decides to publish the co-investment offer before the commitment procedure ends, the operator may </w:t>
      </w:r>
      <w:r>
        <w:rPr>
          <w:rFonts w:ascii="Arial" w:eastAsia="Calibri" w:hAnsi="Arial" w:cs="Arial"/>
          <w:lang w:val="en-GB"/>
        </w:rPr>
        <w:t>clearly state that the offer is considered valid only in case the</w:t>
      </w:r>
      <w:r w:rsidRPr="008D5996">
        <w:rPr>
          <w:rFonts w:ascii="Arial" w:eastAsia="Calibri" w:hAnsi="Arial" w:cs="Arial"/>
          <w:lang w:val="en-GB"/>
        </w:rPr>
        <w:t xml:space="preserve"> NRA</w:t>
      </w:r>
      <w:r>
        <w:rPr>
          <w:rFonts w:ascii="Arial" w:eastAsia="Calibri" w:hAnsi="Arial" w:cs="Arial"/>
          <w:lang w:val="en-GB"/>
        </w:rPr>
        <w:t xml:space="preserve"> will issue a</w:t>
      </w:r>
      <w:r w:rsidRPr="008D5996">
        <w:rPr>
          <w:rFonts w:ascii="Arial" w:eastAsia="Calibri" w:hAnsi="Arial" w:cs="Arial"/>
          <w:lang w:val="en-GB"/>
        </w:rPr>
        <w:t xml:space="preserve"> </w:t>
      </w:r>
      <w:bookmarkEnd w:id="179"/>
      <w:r w:rsidRPr="008D5996">
        <w:rPr>
          <w:rFonts w:ascii="Arial" w:eastAsia="Calibri" w:hAnsi="Arial" w:cs="Arial"/>
          <w:lang w:val="en-GB"/>
        </w:rPr>
        <w:t>deregulatory decision.</w:t>
      </w:r>
      <w:r>
        <w:rPr>
          <w:rFonts w:ascii="Arial" w:eastAsia="Calibri" w:hAnsi="Arial" w:cs="Arial"/>
          <w:lang w:val="en-GB"/>
        </w:rPr>
        <w:t xml:space="preserve"> </w:t>
      </w:r>
    </w:p>
    <w:p w14:paraId="15887632" w14:textId="790154F9" w:rsidR="00D25473" w:rsidRPr="0062623A" w:rsidRDefault="00D25473" w:rsidP="00023C8A">
      <w:pPr>
        <w:pStyle w:val="ListParagraph"/>
        <w:numPr>
          <w:ilvl w:val="0"/>
          <w:numId w:val="47"/>
        </w:numPr>
        <w:autoSpaceDE w:val="0"/>
        <w:autoSpaceDN w:val="0"/>
        <w:adjustRightInd w:val="0"/>
        <w:spacing w:after="60"/>
        <w:rPr>
          <w:rFonts w:ascii="Arial" w:eastAsia="Calibri" w:hAnsi="Arial" w:cs="Arial"/>
          <w:lang w:val="en-GB"/>
        </w:rPr>
      </w:pPr>
      <w:r>
        <w:rPr>
          <w:rFonts w:ascii="Arial" w:eastAsia="Calibri" w:hAnsi="Arial" w:cs="Arial"/>
          <w:lang w:val="en-GB"/>
        </w:rPr>
        <w:t>R</w:t>
      </w:r>
      <w:r w:rsidRPr="008D5996">
        <w:rPr>
          <w:rFonts w:ascii="Arial" w:eastAsia="Calibri" w:hAnsi="Arial" w:cs="Arial"/>
          <w:lang w:val="en-GB"/>
        </w:rPr>
        <w:t>egarding the six months period</w:t>
      </w:r>
      <w:r>
        <w:rPr>
          <w:rFonts w:ascii="Arial" w:eastAsia="Calibri" w:hAnsi="Arial" w:cs="Arial"/>
          <w:lang w:val="en-GB"/>
        </w:rPr>
        <w:t>,</w:t>
      </w:r>
      <w:r w:rsidRPr="008D5996">
        <w:rPr>
          <w:rFonts w:ascii="Arial" w:eastAsia="Calibri" w:hAnsi="Arial" w:cs="Arial"/>
          <w:lang w:val="en-GB"/>
        </w:rPr>
        <w:t xml:space="preserve"> </w:t>
      </w:r>
      <w:r>
        <w:rPr>
          <w:rFonts w:ascii="Arial" w:eastAsia="Calibri" w:hAnsi="Arial" w:cs="Arial"/>
          <w:lang w:val="en-GB"/>
        </w:rPr>
        <w:t>BEREC</w:t>
      </w:r>
      <w:r w:rsidRPr="008D5996">
        <w:rPr>
          <w:rFonts w:ascii="Arial" w:eastAsia="Calibri" w:hAnsi="Arial" w:cs="Arial"/>
          <w:lang w:val="en-GB"/>
        </w:rPr>
        <w:t xml:space="preserve"> identif</w:t>
      </w:r>
      <w:r>
        <w:rPr>
          <w:rFonts w:ascii="Arial" w:eastAsia="Calibri" w:hAnsi="Arial" w:cs="Arial"/>
          <w:lang w:val="en-GB"/>
        </w:rPr>
        <w:t>ies</w:t>
      </w:r>
      <w:r w:rsidRPr="008D5996">
        <w:rPr>
          <w:rFonts w:ascii="Arial" w:eastAsia="Calibri" w:hAnsi="Arial" w:cs="Arial"/>
          <w:lang w:val="en-GB"/>
        </w:rPr>
        <w:t xml:space="preserve"> three possible scenarios depending on when the co-investment offer is published:</w:t>
      </w:r>
    </w:p>
    <w:p w14:paraId="2F2B0F6B" w14:textId="77777777" w:rsidR="00D25473" w:rsidRPr="002E633F" w:rsidRDefault="00D25473" w:rsidP="00DC7097">
      <w:pPr>
        <w:spacing w:after="60"/>
        <w:ind w:left="1418"/>
        <w:rPr>
          <w:lang w:val="en-GB"/>
        </w:rPr>
      </w:pPr>
      <w:bookmarkStart w:id="180" w:name="_Hlk21361217"/>
      <w:r w:rsidRPr="00375058">
        <w:rPr>
          <w:rFonts w:ascii="Arial" w:eastAsia="Calibri" w:hAnsi="Arial" w:cs="Arial"/>
          <w:lang w:val="en-GB"/>
        </w:rPr>
        <w:t xml:space="preserve">1. Publication of co-investment offer </w:t>
      </w:r>
      <w:r w:rsidRPr="002510B0">
        <w:rPr>
          <w:rFonts w:ascii="Arial" w:eastAsia="Calibri" w:hAnsi="Arial" w:cs="Arial"/>
          <w:i/>
          <w:lang w:val="en-GB"/>
        </w:rPr>
        <w:t>after</w:t>
      </w:r>
      <w:r w:rsidRPr="00375058">
        <w:rPr>
          <w:rFonts w:ascii="Arial" w:eastAsia="Calibri" w:hAnsi="Arial" w:cs="Arial"/>
          <w:lang w:val="en-GB"/>
        </w:rPr>
        <w:t xml:space="preserve"> the commitment</w:t>
      </w:r>
      <w:r>
        <w:rPr>
          <w:rFonts w:ascii="Arial" w:eastAsia="Calibri" w:hAnsi="Arial" w:cs="Arial"/>
          <w:lang w:val="en-GB"/>
        </w:rPr>
        <w:t>’s</w:t>
      </w:r>
      <w:r w:rsidRPr="00375058">
        <w:rPr>
          <w:rFonts w:ascii="Arial" w:eastAsia="Calibri" w:hAnsi="Arial" w:cs="Arial"/>
          <w:lang w:val="en-GB"/>
        </w:rPr>
        <w:t xml:space="preserve"> procedure ends.</w:t>
      </w:r>
      <w:bookmarkEnd w:id="180"/>
    </w:p>
    <w:p w14:paraId="21FB38A4" w14:textId="77777777" w:rsidR="00D25473" w:rsidRPr="00BD106E" w:rsidRDefault="00D25473" w:rsidP="00023C8A">
      <w:pPr>
        <w:pStyle w:val="ListParagraph"/>
        <w:autoSpaceDE w:val="0"/>
        <w:autoSpaceDN w:val="0"/>
        <w:adjustRightInd w:val="0"/>
        <w:spacing w:after="60"/>
        <w:ind w:left="284" w:firstLine="0"/>
        <w:rPr>
          <w:rFonts w:ascii="Arial" w:eastAsia="Calibri" w:hAnsi="Arial" w:cs="Arial"/>
          <w:lang w:val="en-GB"/>
        </w:rPr>
      </w:pPr>
      <w:r w:rsidRPr="0062623A">
        <w:rPr>
          <w:rFonts w:ascii="Arial" w:eastAsia="Calibri" w:hAnsi="Arial" w:cs="Arial"/>
          <w:lang w:val="en-GB"/>
        </w:rPr>
        <w:t xml:space="preserve">In this scenario, </w:t>
      </w:r>
      <w:r>
        <w:rPr>
          <w:rFonts w:ascii="Arial" w:eastAsia="Calibri" w:hAnsi="Arial" w:cs="Arial"/>
          <w:lang w:val="en-GB"/>
        </w:rPr>
        <w:t>the</w:t>
      </w:r>
      <w:r w:rsidRPr="0062623A">
        <w:rPr>
          <w:rFonts w:ascii="Arial" w:eastAsia="Calibri" w:hAnsi="Arial" w:cs="Arial"/>
          <w:lang w:val="en-GB"/>
        </w:rPr>
        <w:t xml:space="preserve"> SMP operator decides first to offer commitments on co-investment</w:t>
      </w:r>
      <w:r>
        <w:rPr>
          <w:rFonts w:ascii="Arial" w:eastAsia="Calibri" w:hAnsi="Arial" w:cs="Arial"/>
          <w:lang w:val="en-GB"/>
        </w:rPr>
        <w:t xml:space="preserve"> before the publication of the offer.</w:t>
      </w:r>
      <w:r w:rsidRPr="0062623A">
        <w:rPr>
          <w:rFonts w:ascii="Arial" w:eastAsia="Calibri" w:hAnsi="Arial" w:cs="Arial"/>
          <w:lang w:val="en-GB"/>
        </w:rPr>
        <w:t xml:space="preserve"> Consequently</w:t>
      </w:r>
      <w:r>
        <w:rPr>
          <w:rFonts w:ascii="Arial" w:eastAsia="Calibri" w:hAnsi="Arial" w:cs="Arial"/>
          <w:lang w:val="en-GB"/>
        </w:rPr>
        <w:t>,</w:t>
      </w:r>
      <w:r w:rsidRPr="0062623A">
        <w:rPr>
          <w:rFonts w:ascii="Arial" w:eastAsia="Calibri" w:hAnsi="Arial" w:cs="Arial"/>
          <w:lang w:val="en-GB"/>
        </w:rPr>
        <w:t xml:space="preserve"> the NRA – taking into account the results of the market test – can make them binding and declare to not impose any remedy in relation to the new network (</w:t>
      </w:r>
      <w:r>
        <w:rPr>
          <w:rFonts w:ascii="Arial" w:eastAsia="Calibri" w:hAnsi="Arial" w:cs="Arial"/>
          <w:lang w:val="en-GB"/>
        </w:rPr>
        <w:t>declaring</w:t>
      </w:r>
      <w:r w:rsidRPr="0062623A">
        <w:rPr>
          <w:rFonts w:ascii="Arial" w:eastAsia="Calibri" w:hAnsi="Arial" w:cs="Arial"/>
          <w:lang w:val="en-GB"/>
        </w:rPr>
        <w:t xml:space="preserve"> that the deregulation will apply from the moment when at least one company entered into the co-investment agreement). Then</w:t>
      </w:r>
      <w:r>
        <w:rPr>
          <w:rFonts w:ascii="Arial" w:eastAsia="Calibri" w:hAnsi="Arial" w:cs="Arial"/>
          <w:lang w:val="en-GB"/>
        </w:rPr>
        <w:t>,</w:t>
      </w:r>
      <w:r w:rsidRPr="0062623A">
        <w:rPr>
          <w:rFonts w:ascii="Arial" w:eastAsia="Calibri" w:hAnsi="Arial" w:cs="Arial"/>
          <w:lang w:val="en-GB"/>
        </w:rPr>
        <w:t xml:space="preserve"> the SMP operator publishes the co-investment offer and after (at least) six months the deployment of the network starts.</w:t>
      </w:r>
      <w:r>
        <w:rPr>
          <w:rFonts w:ascii="Arial" w:eastAsia="Calibri" w:hAnsi="Arial" w:cs="Arial"/>
          <w:lang w:val="en-GB"/>
        </w:rPr>
        <w:t xml:space="preserve"> T</w:t>
      </w:r>
      <w:r w:rsidRPr="00F86392">
        <w:rPr>
          <w:rFonts w:ascii="Arial" w:eastAsia="Calibri" w:hAnsi="Arial" w:cs="Arial"/>
          <w:lang w:val="en-GB"/>
        </w:rPr>
        <w:t>h</w:t>
      </w:r>
      <w:r>
        <w:rPr>
          <w:rFonts w:ascii="Arial" w:eastAsia="Calibri" w:hAnsi="Arial" w:cs="Arial"/>
          <w:lang w:val="en-GB"/>
        </w:rPr>
        <w:t>e</w:t>
      </w:r>
      <w:r w:rsidRPr="00F86392">
        <w:rPr>
          <w:rFonts w:ascii="Arial" w:eastAsia="Calibri" w:hAnsi="Arial" w:cs="Arial"/>
          <w:lang w:val="en-GB"/>
        </w:rPr>
        <w:t xml:space="preserve"> commitments need to be sufficiently clear and precise so that NRAs can verify the compliance with </w:t>
      </w:r>
      <w:r w:rsidR="00046EDD">
        <w:rPr>
          <w:rFonts w:ascii="Arial" w:eastAsia="Calibri" w:hAnsi="Arial" w:cs="Arial"/>
          <w:lang w:val="en-GB"/>
        </w:rPr>
        <w:t>Article</w:t>
      </w:r>
      <w:r w:rsidRPr="00F86392">
        <w:rPr>
          <w:rFonts w:ascii="Arial" w:eastAsia="Calibri" w:hAnsi="Arial" w:cs="Arial"/>
          <w:lang w:val="en-GB"/>
        </w:rPr>
        <w:t xml:space="preserve"> 76 and Annex IV</w:t>
      </w:r>
      <w:r>
        <w:rPr>
          <w:rFonts w:ascii="Arial" w:eastAsia="Calibri" w:hAnsi="Arial" w:cs="Arial"/>
          <w:lang w:val="en-GB"/>
        </w:rPr>
        <w:t>,</w:t>
      </w:r>
      <w:r w:rsidRPr="00F86392">
        <w:rPr>
          <w:rFonts w:ascii="Arial" w:eastAsia="Calibri" w:hAnsi="Arial" w:cs="Arial"/>
          <w:lang w:val="en-GB"/>
        </w:rPr>
        <w:t xml:space="preserve"> and stakeholders are able to </w:t>
      </w:r>
      <w:r>
        <w:rPr>
          <w:rFonts w:ascii="Arial" w:eastAsia="Calibri" w:hAnsi="Arial" w:cs="Arial"/>
          <w:lang w:val="en-GB"/>
        </w:rPr>
        <w:t>participate at market test with their comments.</w:t>
      </w:r>
      <w:r w:rsidR="001B7388">
        <w:rPr>
          <w:rFonts w:ascii="Arial" w:eastAsia="Calibri" w:hAnsi="Arial" w:cs="Arial"/>
          <w:lang w:val="en-GB"/>
        </w:rPr>
        <w:t xml:space="preserve"> </w:t>
      </w:r>
    </w:p>
    <w:p w14:paraId="3DB8AAF8" w14:textId="77777777" w:rsidR="00D25473" w:rsidRPr="00BD106E" w:rsidRDefault="00D25473" w:rsidP="00023C8A">
      <w:pPr>
        <w:numPr>
          <w:ilvl w:val="0"/>
          <w:numId w:val="45"/>
        </w:numPr>
        <w:autoSpaceDE w:val="0"/>
        <w:autoSpaceDN w:val="0"/>
        <w:adjustRightInd w:val="0"/>
        <w:spacing w:after="60"/>
        <w:rPr>
          <w:rFonts w:ascii="Arial" w:eastAsia="Calibri" w:hAnsi="Arial" w:cs="Arial"/>
          <w:lang w:val="en-GB"/>
        </w:rPr>
      </w:pPr>
      <w:r w:rsidRPr="00BD106E">
        <w:rPr>
          <w:rFonts w:ascii="Arial" w:eastAsia="Calibri" w:hAnsi="Arial" w:cs="Arial"/>
          <w:lang w:val="en-GB"/>
        </w:rPr>
        <w:t xml:space="preserve">Publication of co-investment offer </w:t>
      </w:r>
      <w:r w:rsidRPr="002510B0">
        <w:rPr>
          <w:rFonts w:ascii="Arial" w:eastAsia="Calibri" w:hAnsi="Arial" w:cs="Arial"/>
          <w:i/>
          <w:lang w:val="en-GB"/>
        </w:rPr>
        <w:t>before</w:t>
      </w:r>
      <w:r w:rsidRPr="00BD106E">
        <w:rPr>
          <w:rFonts w:ascii="Arial" w:eastAsia="Calibri" w:hAnsi="Arial" w:cs="Arial"/>
          <w:lang w:val="en-GB"/>
        </w:rPr>
        <w:t xml:space="preserve"> or </w:t>
      </w:r>
      <w:r w:rsidRPr="002510B0">
        <w:rPr>
          <w:rFonts w:ascii="Arial" w:eastAsia="Calibri" w:hAnsi="Arial" w:cs="Arial"/>
          <w:i/>
          <w:lang w:val="en-GB"/>
        </w:rPr>
        <w:t>during</w:t>
      </w:r>
      <w:r w:rsidRPr="00BD106E">
        <w:rPr>
          <w:rFonts w:ascii="Arial" w:eastAsia="Calibri" w:hAnsi="Arial" w:cs="Arial"/>
          <w:lang w:val="en-GB"/>
        </w:rPr>
        <w:t xml:space="preserve"> the commitment’s procedure and </w:t>
      </w:r>
      <w:r w:rsidRPr="002510B0">
        <w:rPr>
          <w:rFonts w:ascii="Arial" w:eastAsia="Calibri" w:hAnsi="Arial" w:cs="Arial"/>
          <w:i/>
          <w:lang w:val="en-GB"/>
        </w:rPr>
        <w:t>relevant changes</w:t>
      </w:r>
      <w:r w:rsidRPr="00BD106E">
        <w:rPr>
          <w:rFonts w:ascii="Arial" w:eastAsia="Calibri" w:hAnsi="Arial" w:cs="Arial"/>
          <w:lang w:val="en-GB"/>
        </w:rPr>
        <w:t xml:space="preserve"> at the end of the procedure.</w:t>
      </w:r>
    </w:p>
    <w:p w14:paraId="7083B931" w14:textId="77777777" w:rsidR="00D25473" w:rsidRPr="0062623A" w:rsidRDefault="00D25473" w:rsidP="00023C8A">
      <w:pPr>
        <w:pStyle w:val="ListParagraph"/>
        <w:autoSpaceDE w:val="0"/>
        <w:autoSpaceDN w:val="0"/>
        <w:adjustRightInd w:val="0"/>
        <w:spacing w:after="60"/>
        <w:ind w:left="284" w:firstLine="0"/>
        <w:contextualSpacing w:val="0"/>
        <w:rPr>
          <w:rFonts w:ascii="Arial" w:eastAsia="Calibri" w:hAnsi="Arial" w:cs="Arial"/>
          <w:lang w:val="en-GB"/>
        </w:rPr>
      </w:pPr>
      <w:r w:rsidRPr="00BD106E">
        <w:rPr>
          <w:rFonts w:ascii="Arial" w:eastAsia="Calibri" w:hAnsi="Arial" w:cs="Arial"/>
          <w:lang w:val="en-GB"/>
        </w:rPr>
        <w:t>In case the SMP operator publishes the offer of co-investment before o</w:t>
      </w:r>
      <w:r w:rsidRPr="0062623A">
        <w:rPr>
          <w:rFonts w:ascii="Arial" w:eastAsia="Calibri" w:hAnsi="Arial" w:cs="Arial"/>
          <w:lang w:val="en-GB"/>
        </w:rPr>
        <w:t xml:space="preserve">r during the commitment procedure and then the offer changes </w:t>
      </w:r>
      <w:r w:rsidRPr="0046565D">
        <w:rPr>
          <w:rFonts w:ascii="Arial" w:hAnsi="Arial"/>
          <w:i/>
          <w:lang w:val="en-GB"/>
        </w:rPr>
        <w:t>significantly</w:t>
      </w:r>
      <w:r w:rsidRPr="0062623A">
        <w:rPr>
          <w:rFonts w:ascii="Arial" w:eastAsia="Calibri" w:hAnsi="Arial" w:cs="Arial"/>
          <w:lang w:val="en-GB"/>
        </w:rPr>
        <w:t xml:space="preserve"> during this procedure, it is reasonable that the counting of the six-month period will restart from the date of the re-publication by the SMP operator of the definitive offer (the one that will be made binding).</w:t>
      </w:r>
      <w:r>
        <w:rPr>
          <w:rFonts w:ascii="Arial" w:eastAsia="Calibri" w:hAnsi="Arial" w:cs="Arial"/>
          <w:lang w:val="en-GB"/>
        </w:rPr>
        <w:t xml:space="preserve"> However, such a decision will usually be based on case-specific characteristics</w:t>
      </w:r>
      <w:r w:rsidR="008B1FD5">
        <w:rPr>
          <w:rFonts w:ascii="Arial" w:eastAsia="Calibri" w:hAnsi="Arial" w:cs="Arial"/>
          <w:lang w:val="en-GB"/>
        </w:rPr>
        <w:t>.</w:t>
      </w:r>
      <w:r>
        <w:rPr>
          <w:rFonts w:ascii="Arial" w:eastAsia="Calibri" w:hAnsi="Arial" w:cs="Arial"/>
          <w:lang w:val="en-GB"/>
        </w:rPr>
        <w:t xml:space="preserve"> BEREC </w:t>
      </w:r>
      <w:r w:rsidR="008B1FD5">
        <w:rPr>
          <w:rFonts w:ascii="Arial" w:eastAsia="Calibri" w:hAnsi="Arial" w:cs="Arial"/>
          <w:lang w:val="en-GB"/>
        </w:rPr>
        <w:t xml:space="preserve">thus </w:t>
      </w:r>
      <w:r>
        <w:rPr>
          <w:rFonts w:ascii="Arial" w:eastAsia="Calibri" w:hAnsi="Arial" w:cs="Arial"/>
          <w:lang w:val="en-GB"/>
        </w:rPr>
        <w:t xml:space="preserve">proposes </w:t>
      </w:r>
      <w:r w:rsidR="008B1FD5">
        <w:rPr>
          <w:rFonts w:ascii="Arial" w:eastAsia="Calibri" w:hAnsi="Arial" w:cs="Arial"/>
          <w:lang w:val="en-GB"/>
        </w:rPr>
        <w:t xml:space="preserve">that </w:t>
      </w:r>
      <w:r>
        <w:rPr>
          <w:rFonts w:ascii="Arial" w:eastAsia="Calibri" w:hAnsi="Arial" w:cs="Arial"/>
          <w:lang w:val="en-GB"/>
        </w:rPr>
        <w:t>NRAs apply</w:t>
      </w:r>
      <w:r w:rsidR="008B1FD5">
        <w:rPr>
          <w:rFonts w:ascii="Arial" w:eastAsia="Calibri" w:hAnsi="Arial" w:cs="Arial"/>
          <w:lang w:val="en-GB"/>
        </w:rPr>
        <w:t xml:space="preserve"> </w:t>
      </w:r>
      <w:r>
        <w:rPr>
          <w:rFonts w:ascii="Arial" w:eastAsia="Calibri" w:hAnsi="Arial" w:cs="Arial"/>
          <w:lang w:val="en-GB"/>
        </w:rPr>
        <w:t>a case-by-case approach in this respect.</w:t>
      </w:r>
    </w:p>
    <w:p w14:paraId="0864897C" w14:textId="77777777" w:rsidR="00D25473" w:rsidRDefault="00D25473" w:rsidP="00023C8A">
      <w:pPr>
        <w:numPr>
          <w:ilvl w:val="0"/>
          <w:numId w:val="45"/>
        </w:numPr>
        <w:autoSpaceDE w:val="0"/>
        <w:autoSpaceDN w:val="0"/>
        <w:adjustRightInd w:val="0"/>
        <w:spacing w:after="60"/>
        <w:rPr>
          <w:rFonts w:ascii="Arial" w:eastAsia="Calibri" w:hAnsi="Arial" w:cs="Arial"/>
          <w:lang w:val="en-GB"/>
        </w:rPr>
      </w:pPr>
      <w:r>
        <w:rPr>
          <w:rFonts w:ascii="Arial" w:eastAsia="Calibri" w:hAnsi="Arial" w:cs="Arial"/>
          <w:lang w:val="en-GB"/>
        </w:rPr>
        <w:t xml:space="preserve">Publication of the co-investment offer </w:t>
      </w:r>
      <w:r w:rsidRPr="002510B0">
        <w:rPr>
          <w:rFonts w:ascii="Arial" w:eastAsia="Calibri" w:hAnsi="Arial" w:cs="Arial"/>
          <w:i/>
          <w:lang w:val="en-GB"/>
        </w:rPr>
        <w:t>before</w:t>
      </w:r>
      <w:r>
        <w:rPr>
          <w:rFonts w:ascii="Arial" w:eastAsia="Calibri" w:hAnsi="Arial" w:cs="Arial"/>
          <w:lang w:val="en-GB"/>
        </w:rPr>
        <w:t xml:space="preserve"> or </w:t>
      </w:r>
      <w:r w:rsidRPr="002510B0">
        <w:rPr>
          <w:rFonts w:ascii="Arial" w:eastAsia="Calibri" w:hAnsi="Arial" w:cs="Arial"/>
          <w:i/>
          <w:lang w:val="en-GB"/>
        </w:rPr>
        <w:t>during</w:t>
      </w:r>
      <w:r>
        <w:rPr>
          <w:rFonts w:ascii="Arial" w:eastAsia="Calibri" w:hAnsi="Arial" w:cs="Arial"/>
          <w:lang w:val="en-GB"/>
        </w:rPr>
        <w:t xml:space="preserve"> the commitment’s procedure and </w:t>
      </w:r>
      <w:r w:rsidRPr="002510B0">
        <w:rPr>
          <w:rFonts w:ascii="Arial" w:hAnsi="Arial"/>
          <w:i/>
          <w:u w:val="single"/>
          <w:lang w:val="en-GB"/>
        </w:rPr>
        <w:t>no</w:t>
      </w:r>
      <w:r w:rsidRPr="0046565D">
        <w:rPr>
          <w:rFonts w:ascii="Arial" w:hAnsi="Arial"/>
          <w:lang w:val="en-GB"/>
        </w:rPr>
        <w:t xml:space="preserve"> relevant</w:t>
      </w:r>
      <w:r>
        <w:rPr>
          <w:rFonts w:ascii="Arial" w:eastAsia="Calibri" w:hAnsi="Arial" w:cs="Arial"/>
          <w:lang w:val="en-GB"/>
        </w:rPr>
        <w:t xml:space="preserve"> changes at the end of the procedure. </w:t>
      </w:r>
    </w:p>
    <w:p w14:paraId="13FB171E" w14:textId="77777777" w:rsidR="00D25473" w:rsidRPr="0062623A" w:rsidRDefault="00D25473" w:rsidP="009A3A04">
      <w:pPr>
        <w:pStyle w:val="ListParagraph"/>
        <w:autoSpaceDE w:val="0"/>
        <w:autoSpaceDN w:val="0"/>
        <w:adjustRightInd w:val="0"/>
        <w:spacing w:after="60"/>
        <w:ind w:left="284" w:firstLine="0"/>
        <w:contextualSpacing w:val="0"/>
        <w:rPr>
          <w:rFonts w:ascii="Arial" w:eastAsia="Calibri" w:hAnsi="Arial" w:cs="Arial"/>
          <w:lang w:val="en-GB"/>
        </w:rPr>
      </w:pPr>
      <w:r w:rsidRPr="0062623A">
        <w:rPr>
          <w:rFonts w:ascii="Arial" w:eastAsia="Calibri" w:hAnsi="Arial" w:cs="Arial"/>
          <w:lang w:val="en-GB"/>
        </w:rPr>
        <w:t>In case the SMP operator publishes the offer of co-investment before or during the commitment procedure and then the offer does</w:t>
      </w:r>
      <w:r>
        <w:rPr>
          <w:rFonts w:ascii="Arial" w:eastAsia="Calibri" w:hAnsi="Arial" w:cs="Arial"/>
          <w:lang w:val="en-GB"/>
        </w:rPr>
        <w:t xml:space="preserve"> </w:t>
      </w:r>
      <w:r w:rsidRPr="00CC10B4">
        <w:rPr>
          <w:rFonts w:ascii="Arial" w:eastAsia="Calibri" w:hAnsi="Arial" w:cs="Arial"/>
          <w:lang w:val="en-GB"/>
        </w:rPr>
        <w:t>not</w:t>
      </w:r>
      <w:r w:rsidRPr="0062623A">
        <w:rPr>
          <w:rFonts w:ascii="Arial" w:eastAsia="Calibri" w:hAnsi="Arial" w:cs="Arial"/>
          <w:lang w:val="en-GB"/>
        </w:rPr>
        <w:t xml:space="preserve"> significantly change during this procedure and it is complete (includes the minimum set of information, see </w:t>
      </w:r>
      <w:r>
        <w:rPr>
          <w:rFonts w:ascii="Arial" w:eastAsia="Calibri" w:hAnsi="Arial" w:cs="Arial"/>
          <w:lang w:val="en-GB"/>
        </w:rPr>
        <w:t>below</w:t>
      </w:r>
      <w:r w:rsidRPr="0062623A">
        <w:rPr>
          <w:rFonts w:ascii="Arial" w:eastAsia="Calibri" w:hAnsi="Arial" w:cs="Arial"/>
          <w:lang w:val="en-GB"/>
        </w:rPr>
        <w:t xml:space="preserve">), the counting of the six-month period will start from the </w:t>
      </w:r>
      <w:r>
        <w:rPr>
          <w:rFonts w:ascii="Arial" w:eastAsia="Calibri" w:hAnsi="Arial" w:cs="Arial"/>
          <w:lang w:val="en-GB"/>
        </w:rPr>
        <w:t xml:space="preserve">initial </w:t>
      </w:r>
      <w:r w:rsidRPr="0062623A">
        <w:rPr>
          <w:rFonts w:ascii="Arial" w:eastAsia="Calibri" w:hAnsi="Arial" w:cs="Arial"/>
          <w:lang w:val="en-GB"/>
        </w:rPr>
        <w:t>date of the publication (the published offer will not be significantly different from the one that will be made binding</w:t>
      </w:r>
      <w:r>
        <w:rPr>
          <w:rFonts w:ascii="Arial" w:eastAsia="Calibri" w:hAnsi="Arial" w:cs="Arial"/>
          <w:lang w:val="en-GB"/>
        </w:rPr>
        <w:t>).</w:t>
      </w:r>
      <w:r w:rsidR="008B1FD5">
        <w:rPr>
          <w:rFonts w:ascii="Arial" w:eastAsia="Calibri" w:hAnsi="Arial" w:cs="Arial"/>
          <w:lang w:val="en-GB"/>
        </w:rPr>
        <w:t xml:space="preserve"> I</w:t>
      </w:r>
      <w:r w:rsidR="008B1FD5" w:rsidRPr="0062623A">
        <w:rPr>
          <w:rFonts w:ascii="Arial" w:eastAsia="Calibri" w:hAnsi="Arial" w:cs="Arial"/>
          <w:lang w:val="en-GB"/>
        </w:rPr>
        <w:t>n order to guarantee the highest level of transparency to stakeholders,</w:t>
      </w:r>
      <w:r>
        <w:rPr>
          <w:rFonts w:ascii="Arial" w:eastAsia="Calibri" w:hAnsi="Arial" w:cs="Arial"/>
          <w:lang w:val="en-GB"/>
        </w:rPr>
        <w:t xml:space="preserve"> </w:t>
      </w:r>
      <w:r w:rsidR="008B1FD5">
        <w:rPr>
          <w:rFonts w:ascii="Arial" w:eastAsia="Calibri" w:hAnsi="Arial" w:cs="Arial"/>
          <w:lang w:val="en-GB"/>
        </w:rPr>
        <w:t>if</w:t>
      </w:r>
      <w:r>
        <w:rPr>
          <w:rFonts w:ascii="Arial" w:eastAsia="Calibri" w:hAnsi="Arial" w:cs="Arial"/>
          <w:lang w:val="en-GB"/>
        </w:rPr>
        <w:t xml:space="preserve"> SMP operator publishes the offer before the commitment </w:t>
      </w:r>
      <w:r>
        <w:rPr>
          <w:rFonts w:ascii="Arial" w:eastAsia="Calibri" w:hAnsi="Arial" w:cs="Arial"/>
          <w:lang w:val="en-GB"/>
        </w:rPr>
        <w:lastRenderedPageBreak/>
        <w:t>procedure</w:t>
      </w:r>
      <w:r w:rsidR="008B1FD5">
        <w:rPr>
          <w:rFonts w:ascii="Arial" w:eastAsia="Calibri" w:hAnsi="Arial" w:cs="Arial"/>
          <w:lang w:val="en-GB"/>
        </w:rPr>
        <w:t xml:space="preserve">, </w:t>
      </w:r>
      <w:r w:rsidRPr="0062623A">
        <w:rPr>
          <w:rFonts w:ascii="Arial" w:eastAsia="Calibri" w:hAnsi="Arial" w:cs="Arial"/>
          <w:lang w:val="en-GB"/>
        </w:rPr>
        <w:t xml:space="preserve">BEREC suggests </w:t>
      </w:r>
      <w:bookmarkStart w:id="181" w:name="_Hlk22549332"/>
      <w:r w:rsidRPr="0062623A">
        <w:rPr>
          <w:rFonts w:ascii="Arial" w:eastAsia="Calibri" w:hAnsi="Arial" w:cs="Arial"/>
          <w:lang w:val="en-GB"/>
        </w:rPr>
        <w:t xml:space="preserve">that </w:t>
      </w:r>
      <w:r>
        <w:rPr>
          <w:rFonts w:ascii="Arial" w:eastAsia="Calibri" w:hAnsi="Arial" w:cs="Arial"/>
          <w:lang w:val="en-GB"/>
        </w:rPr>
        <w:t xml:space="preserve">the </w:t>
      </w:r>
      <w:r w:rsidRPr="0062623A">
        <w:rPr>
          <w:rFonts w:ascii="Arial" w:eastAsia="Calibri" w:hAnsi="Arial" w:cs="Arial"/>
          <w:lang w:val="en-GB"/>
        </w:rPr>
        <w:t xml:space="preserve">SMP operator </w:t>
      </w:r>
      <w:r>
        <w:rPr>
          <w:rFonts w:ascii="Arial" w:eastAsia="Calibri" w:hAnsi="Arial" w:cs="Arial"/>
          <w:lang w:val="en-GB"/>
        </w:rPr>
        <w:t xml:space="preserve">should </w:t>
      </w:r>
      <w:r w:rsidRPr="0062623A">
        <w:rPr>
          <w:rFonts w:ascii="Arial" w:eastAsia="Calibri" w:hAnsi="Arial" w:cs="Arial"/>
          <w:lang w:val="en-GB"/>
        </w:rPr>
        <w:t xml:space="preserve">clearly indicate in the publication the intention to propose commitments under </w:t>
      </w:r>
      <w:r w:rsidR="00046EDD">
        <w:rPr>
          <w:rFonts w:ascii="Arial" w:eastAsia="Calibri" w:hAnsi="Arial" w:cs="Arial"/>
          <w:lang w:val="en-GB"/>
        </w:rPr>
        <w:t>Article</w:t>
      </w:r>
      <w:r w:rsidRPr="0062623A">
        <w:rPr>
          <w:rFonts w:ascii="Arial" w:eastAsia="Calibri" w:hAnsi="Arial" w:cs="Arial"/>
          <w:lang w:val="en-GB"/>
        </w:rPr>
        <w:t xml:space="preserve"> 79 of the </w:t>
      </w:r>
      <w:r w:rsidR="00E84062">
        <w:rPr>
          <w:rFonts w:ascii="Arial" w:eastAsia="Calibri" w:hAnsi="Arial" w:cs="Arial"/>
          <w:lang w:val="en-GB"/>
        </w:rPr>
        <w:t>EECC</w:t>
      </w:r>
      <w:r w:rsidRPr="0062623A">
        <w:rPr>
          <w:rFonts w:ascii="Arial" w:eastAsia="Calibri" w:hAnsi="Arial" w:cs="Arial"/>
          <w:lang w:val="en-GB"/>
        </w:rPr>
        <w:t xml:space="preserve"> on the basis of that offer</w:t>
      </w:r>
      <w:bookmarkEnd w:id="181"/>
      <w:r w:rsidRPr="0062623A">
        <w:rPr>
          <w:rFonts w:ascii="Arial" w:eastAsia="Calibri" w:hAnsi="Arial" w:cs="Arial"/>
          <w:lang w:val="en-GB"/>
        </w:rPr>
        <w:t xml:space="preserve">. This information is required for the publication of the offer to count towards the six-month period. </w:t>
      </w:r>
    </w:p>
    <w:p w14:paraId="22B28ECD" w14:textId="4750E011" w:rsidR="00D25473" w:rsidRPr="008D5996" w:rsidRDefault="00D25473" w:rsidP="009A3A04">
      <w:pPr>
        <w:pStyle w:val="ListParagraph"/>
        <w:numPr>
          <w:ilvl w:val="0"/>
          <w:numId w:val="47"/>
        </w:numPr>
        <w:spacing w:after="60"/>
        <w:contextualSpacing w:val="0"/>
        <w:rPr>
          <w:rFonts w:ascii="Arial" w:eastAsia="Calibri" w:hAnsi="Arial" w:cs="Arial"/>
          <w:lang w:val="en-GB"/>
        </w:rPr>
      </w:pPr>
      <w:r w:rsidRPr="008D5996">
        <w:rPr>
          <w:rFonts w:ascii="Arial" w:eastAsia="Calibri" w:hAnsi="Arial" w:cs="Arial"/>
          <w:lang w:val="en-GB"/>
        </w:rPr>
        <w:t xml:space="preserve">In relation to the possibility to </w:t>
      </w:r>
      <w:r>
        <w:rPr>
          <w:rFonts w:ascii="Arial" w:eastAsia="Calibri" w:hAnsi="Arial" w:cs="Arial"/>
          <w:lang w:val="en-GB"/>
        </w:rPr>
        <w:t>extend</w:t>
      </w:r>
      <w:r w:rsidRPr="008D5996">
        <w:rPr>
          <w:rFonts w:ascii="Arial" w:eastAsia="Calibri" w:hAnsi="Arial" w:cs="Arial"/>
          <w:lang w:val="en-GB"/>
        </w:rPr>
        <w:t xml:space="preserve"> the six-month period based on </w:t>
      </w:r>
      <w:r w:rsidRPr="0046565D">
        <w:rPr>
          <w:rFonts w:ascii="Arial" w:hAnsi="Arial"/>
          <w:lang w:val="en-GB"/>
        </w:rPr>
        <w:t>national circumstances</w:t>
      </w:r>
      <w:r w:rsidRPr="008D5996">
        <w:rPr>
          <w:rFonts w:ascii="Arial" w:eastAsia="Calibri" w:hAnsi="Arial" w:cs="Arial"/>
          <w:lang w:val="en-GB"/>
        </w:rPr>
        <w:t xml:space="preserve">, it is reasonable that NRAs evaluate such </w:t>
      </w:r>
      <w:r w:rsidRPr="00CC10B4">
        <w:rPr>
          <w:rFonts w:ascii="Arial" w:eastAsia="Calibri" w:hAnsi="Arial" w:cs="Arial"/>
          <w:lang w:val="en-GB"/>
        </w:rPr>
        <w:t>extension</w:t>
      </w:r>
      <w:r>
        <w:rPr>
          <w:rFonts w:ascii="Arial" w:eastAsia="Calibri" w:hAnsi="Arial" w:cs="Arial"/>
          <w:lang w:val="en-GB"/>
        </w:rPr>
        <w:t>s</w:t>
      </w:r>
      <w:r w:rsidRPr="008D5996">
        <w:rPr>
          <w:rFonts w:ascii="Arial" w:eastAsia="Calibri" w:hAnsi="Arial" w:cs="Arial"/>
          <w:lang w:val="en-GB"/>
        </w:rPr>
        <w:t xml:space="preserve"> in the context of the commitment procedure at the request of the SMP operator or alternative </w:t>
      </w:r>
      <w:r w:rsidRPr="005A203A">
        <w:rPr>
          <w:rFonts w:ascii="Arial" w:eastAsia="Calibri" w:hAnsi="Arial" w:cs="Arial"/>
          <w:lang w:val="en-GB"/>
        </w:rPr>
        <w:t>providers of electronic communications networks and/or services</w:t>
      </w:r>
      <w:r w:rsidRPr="008D5996">
        <w:rPr>
          <w:rFonts w:ascii="Arial" w:eastAsia="Calibri" w:hAnsi="Arial" w:cs="Arial"/>
          <w:lang w:val="en-GB"/>
        </w:rPr>
        <w:t xml:space="preserve"> (during the market test). </w:t>
      </w:r>
      <w:r w:rsidRPr="008D5996">
        <w:rPr>
          <w:rFonts w:ascii="Arial" w:eastAsia="Calibri" w:hAnsi="Arial" w:cs="Arial"/>
        </w:rPr>
        <w:t>This prolongation under national circumstances can mostly be related to the need for other co-investors to prepare for the start of marketing</w:t>
      </w:r>
      <w:r>
        <w:rPr>
          <w:rFonts w:ascii="Arial" w:eastAsia="Calibri" w:hAnsi="Arial" w:cs="Arial"/>
        </w:rPr>
        <w:t xml:space="preserve"> activity</w:t>
      </w:r>
      <w:r w:rsidRPr="00584560">
        <w:rPr>
          <w:rFonts w:ascii="Arial" w:eastAsia="Calibri" w:hAnsi="Arial" w:cs="Arial"/>
        </w:rPr>
        <w:t>,</w:t>
      </w:r>
      <w:r w:rsidRPr="008D5996">
        <w:rPr>
          <w:rFonts w:ascii="Arial" w:eastAsia="Calibri" w:hAnsi="Arial" w:cs="Arial"/>
        </w:rPr>
        <w:t xml:space="preserve"> </w:t>
      </w:r>
      <w:r w:rsidR="0092125B">
        <w:rPr>
          <w:rFonts w:ascii="Arial" w:eastAsia="Calibri" w:hAnsi="Arial" w:cs="Arial"/>
        </w:rPr>
        <w:t>so</w:t>
      </w:r>
      <w:r w:rsidR="0092125B" w:rsidRPr="008D5996">
        <w:rPr>
          <w:rFonts w:ascii="Arial" w:eastAsia="Calibri" w:hAnsi="Arial" w:cs="Arial"/>
        </w:rPr>
        <w:t xml:space="preserve"> </w:t>
      </w:r>
      <w:r w:rsidRPr="008D5996">
        <w:rPr>
          <w:rFonts w:ascii="Arial" w:eastAsia="Calibri" w:hAnsi="Arial" w:cs="Arial"/>
        </w:rPr>
        <w:t xml:space="preserve">that the SMP operator does not get a first mover advantage. In some cases, </w:t>
      </w:r>
      <w:r w:rsidR="0092125B">
        <w:rPr>
          <w:rFonts w:ascii="Arial" w:eastAsia="Calibri" w:hAnsi="Arial" w:cs="Arial"/>
        </w:rPr>
        <w:t>a period longer</w:t>
      </w:r>
      <w:r w:rsidRPr="008D5996">
        <w:rPr>
          <w:rFonts w:ascii="Arial" w:eastAsia="Calibri" w:hAnsi="Arial" w:cs="Arial"/>
        </w:rPr>
        <w:t xml:space="preserve"> than six months may be needed </w:t>
      </w:r>
      <w:r w:rsidR="0092125B">
        <w:rPr>
          <w:rFonts w:ascii="Arial" w:eastAsia="Calibri" w:hAnsi="Arial" w:cs="Arial"/>
        </w:rPr>
        <w:t xml:space="preserve">in case of </w:t>
      </w:r>
      <w:r w:rsidRPr="008D5996">
        <w:rPr>
          <w:rFonts w:ascii="Arial" w:eastAsia="Calibri" w:hAnsi="Arial" w:cs="Arial"/>
        </w:rPr>
        <w:t>complex co-investment schemes</w:t>
      </w:r>
      <w:r w:rsidR="0092125B">
        <w:rPr>
          <w:rFonts w:ascii="Arial" w:eastAsia="Calibri" w:hAnsi="Arial" w:cs="Arial"/>
        </w:rPr>
        <w:t xml:space="preserve"> or </w:t>
      </w:r>
      <w:r w:rsidRPr="008D5996">
        <w:rPr>
          <w:rFonts w:ascii="Arial" w:eastAsia="Calibri" w:hAnsi="Arial" w:cs="Arial"/>
        </w:rPr>
        <w:t>products</w:t>
      </w:r>
      <w:r w:rsidR="0092125B">
        <w:rPr>
          <w:rFonts w:ascii="Arial" w:eastAsia="Calibri" w:hAnsi="Arial" w:cs="Arial"/>
        </w:rPr>
        <w:t xml:space="preserve">, </w:t>
      </w:r>
      <w:r w:rsidRPr="008D5996">
        <w:rPr>
          <w:rFonts w:ascii="Arial" w:eastAsia="Calibri" w:hAnsi="Arial" w:cs="Arial"/>
        </w:rPr>
        <w:t>or the need to implement new interfaces.</w:t>
      </w:r>
      <w:r w:rsidR="001B7388">
        <w:rPr>
          <w:rFonts w:ascii="Arial" w:eastAsia="Calibri" w:hAnsi="Arial" w:cs="Arial"/>
        </w:rPr>
        <w:t xml:space="preserve"> </w:t>
      </w:r>
    </w:p>
    <w:p w14:paraId="371D0B17" w14:textId="75E8849A" w:rsidR="00D25473" w:rsidRPr="008D5996" w:rsidRDefault="00D25473" w:rsidP="009A3A04">
      <w:pPr>
        <w:pStyle w:val="ListParagraph"/>
        <w:numPr>
          <w:ilvl w:val="0"/>
          <w:numId w:val="47"/>
        </w:numPr>
        <w:spacing w:after="60"/>
        <w:contextualSpacing w:val="0"/>
        <w:rPr>
          <w:rFonts w:ascii="Arial" w:eastAsia="Arial" w:hAnsi="Arial" w:cs="Arial"/>
          <w:lang w:val="en-GB"/>
        </w:rPr>
      </w:pPr>
      <w:r w:rsidRPr="008D5996">
        <w:rPr>
          <w:rFonts w:ascii="Arial" w:eastAsia="Arial" w:hAnsi="Arial" w:cs="Arial"/>
          <w:lang w:val="en-GB"/>
        </w:rPr>
        <w:t xml:space="preserve">Annex IV sets out the criteria that the co-investment offer must meet at a minimum, in order to allow NRAs to accept commitments and make them binding. </w:t>
      </w:r>
    </w:p>
    <w:p w14:paraId="703F492B" w14:textId="7B7AD1A9" w:rsidR="00D25473" w:rsidRPr="008D5996" w:rsidRDefault="00D25473" w:rsidP="00DC7097">
      <w:pPr>
        <w:pStyle w:val="ListParagraph"/>
        <w:numPr>
          <w:ilvl w:val="0"/>
          <w:numId w:val="47"/>
        </w:numPr>
        <w:spacing w:after="60"/>
        <w:rPr>
          <w:rFonts w:ascii="Arial" w:eastAsia="Arial" w:hAnsi="Arial" w:cs="Arial"/>
          <w:lang w:val="en-GB"/>
        </w:rPr>
      </w:pPr>
      <w:bookmarkStart w:id="182" w:name="_Ref37078246"/>
      <w:r w:rsidRPr="008D5996">
        <w:rPr>
          <w:rFonts w:ascii="Arial" w:eastAsia="Arial" w:hAnsi="Arial" w:cs="Arial"/>
          <w:lang w:val="en-GB"/>
        </w:rPr>
        <w:t>Annex IV, point b, indicates different levels of transparency for a co-investment offer:</w:t>
      </w:r>
      <w:bookmarkEnd w:id="182"/>
    </w:p>
    <w:p w14:paraId="46E6F254" w14:textId="77777777" w:rsidR="00D25473" w:rsidRPr="00565BB9" w:rsidRDefault="00D25473" w:rsidP="00D25473">
      <w:pPr>
        <w:numPr>
          <w:ilvl w:val="0"/>
          <w:numId w:val="19"/>
        </w:numPr>
        <w:contextualSpacing/>
        <w:rPr>
          <w:rFonts w:ascii="Arial" w:eastAsia="Arial" w:hAnsi="Arial" w:cs="Arial"/>
          <w:lang w:val="en-GB"/>
        </w:rPr>
      </w:pPr>
      <w:r>
        <w:rPr>
          <w:rFonts w:ascii="Arial" w:eastAsia="Arial" w:hAnsi="Arial" w:cs="Arial"/>
          <w:lang w:val="en-GB"/>
        </w:rPr>
        <w:t xml:space="preserve">Necessary </w:t>
      </w:r>
      <w:r w:rsidRPr="00375058">
        <w:rPr>
          <w:rFonts w:ascii="Arial" w:eastAsia="Arial" w:hAnsi="Arial" w:cs="Arial"/>
          <w:lang w:val="en-GB"/>
        </w:rPr>
        <w:t>elements</w:t>
      </w:r>
      <w:r w:rsidRPr="00565BB9">
        <w:rPr>
          <w:rFonts w:ascii="Arial" w:eastAsia="Arial" w:hAnsi="Arial" w:cs="Arial"/>
          <w:lang w:val="en-GB"/>
        </w:rPr>
        <w:t xml:space="preserve"> of the offer must be published</w:t>
      </w:r>
      <w:r>
        <w:rPr>
          <w:rFonts w:ascii="Arial" w:eastAsia="Arial" w:hAnsi="Arial" w:cs="Arial"/>
          <w:lang w:val="en-GB"/>
        </w:rPr>
        <w:t xml:space="preserve"> on the website</w:t>
      </w:r>
      <w:r w:rsidRPr="00565BB9">
        <w:rPr>
          <w:rFonts w:ascii="Arial" w:eastAsia="Arial" w:hAnsi="Arial" w:cs="Arial"/>
          <w:lang w:val="en-GB"/>
        </w:rPr>
        <w:t xml:space="preserve"> </w:t>
      </w:r>
      <w:r>
        <w:rPr>
          <w:rFonts w:ascii="Arial" w:eastAsia="Arial" w:hAnsi="Arial" w:cs="Arial"/>
          <w:lang w:val="en-GB"/>
        </w:rPr>
        <w:t>for interested undertakings to understand the offer</w:t>
      </w:r>
      <w:r w:rsidRPr="00565BB9">
        <w:rPr>
          <w:rFonts w:ascii="Arial" w:eastAsia="Arial" w:hAnsi="Arial" w:cs="Arial"/>
          <w:lang w:val="en-GB"/>
        </w:rPr>
        <w:t xml:space="preserve"> (“</w:t>
      </w:r>
      <w:r w:rsidRPr="00DB0C68">
        <w:rPr>
          <w:rFonts w:ascii="Arial" w:hAnsi="Arial"/>
          <w:i/>
          <w:lang w:val="en-GB"/>
        </w:rPr>
        <w:t>shall be available and easily identified on the website of the undertaking</w:t>
      </w:r>
      <w:r w:rsidRPr="00565BB9">
        <w:rPr>
          <w:rFonts w:ascii="Arial" w:eastAsia="Arial" w:hAnsi="Arial" w:cs="Arial"/>
          <w:lang w:val="en-GB"/>
        </w:rPr>
        <w:t>”)</w:t>
      </w:r>
      <w:r>
        <w:rPr>
          <w:rFonts w:ascii="Arial" w:eastAsia="Arial" w:hAnsi="Arial" w:cs="Arial"/>
          <w:lang w:val="en-GB"/>
        </w:rPr>
        <w:t>;</w:t>
      </w:r>
    </w:p>
    <w:p w14:paraId="24EB5629" w14:textId="77777777" w:rsidR="00D25473" w:rsidRDefault="00D25473" w:rsidP="00D25473">
      <w:pPr>
        <w:numPr>
          <w:ilvl w:val="0"/>
          <w:numId w:val="19"/>
        </w:numPr>
        <w:spacing w:after="0"/>
        <w:rPr>
          <w:rFonts w:ascii="Arial" w:eastAsia="Arial" w:hAnsi="Arial" w:cs="Arial"/>
          <w:lang w:val="en-GB"/>
        </w:rPr>
      </w:pPr>
      <w:r w:rsidRPr="00375058">
        <w:rPr>
          <w:rFonts w:ascii="Arial" w:eastAsia="Arial" w:hAnsi="Arial" w:cs="Arial"/>
          <w:lang w:val="en-GB"/>
        </w:rPr>
        <w:t>Full detailed terms</w:t>
      </w:r>
      <w:r w:rsidRPr="00565BB9">
        <w:rPr>
          <w:rFonts w:ascii="Arial" w:eastAsia="Arial" w:hAnsi="Arial" w:cs="Arial"/>
          <w:lang w:val="en-GB"/>
        </w:rPr>
        <w:t xml:space="preserve"> of the offer would not be made available immediately through the publication but only after a bidder express</w:t>
      </w:r>
      <w:r>
        <w:rPr>
          <w:rFonts w:ascii="Arial" w:eastAsia="Arial" w:hAnsi="Arial" w:cs="Arial"/>
          <w:lang w:val="en-GB"/>
        </w:rPr>
        <w:t>es</w:t>
      </w:r>
      <w:r w:rsidRPr="00565BB9">
        <w:rPr>
          <w:rFonts w:ascii="Arial" w:eastAsia="Arial" w:hAnsi="Arial" w:cs="Arial"/>
          <w:lang w:val="en-GB"/>
        </w:rPr>
        <w:t xml:space="preserve"> its interest (</w:t>
      </w:r>
      <w:r w:rsidRPr="00565BB9">
        <w:rPr>
          <w:rFonts w:ascii="Arial" w:eastAsia="Arial" w:hAnsi="Arial" w:cs="Arial"/>
          <w:b/>
          <w:i/>
          <w:lang w:val="en-GB"/>
        </w:rPr>
        <w:t>“</w:t>
      </w:r>
      <w:r w:rsidRPr="00DB0C68">
        <w:rPr>
          <w:rFonts w:ascii="Arial" w:hAnsi="Arial"/>
          <w:i/>
          <w:lang w:val="en-GB"/>
        </w:rPr>
        <w:t>full detailed terms shall be made available without undue delay to any potential bidder that has expressed an interest”</w:t>
      </w:r>
      <w:r w:rsidRPr="00DB0C68">
        <w:rPr>
          <w:rFonts w:ascii="Arial" w:hAnsi="Arial"/>
          <w:lang w:val="en-GB"/>
        </w:rPr>
        <w:t>)</w:t>
      </w:r>
      <w:r w:rsidRPr="00A56089">
        <w:rPr>
          <w:rFonts w:ascii="Arial" w:eastAsia="Arial" w:hAnsi="Arial" w:cs="Arial"/>
          <w:lang w:val="en-GB"/>
        </w:rPr>
        <w:t>;</w:t>
      </w:r>
    </w:p>
    <w:p w14:paraId="73552DF8" w14:textId="77777777" w:rsidR="00D25473" w:rsidRPr="00D63F5A" w:rsidRDefault="00D25473" w:rsidP="009A3A04">
      <w:pPr>
        <w:numPr>
          <w:ilvl w:val="0"/>
          <w:numId w:val="19"/>
        </w:numPr>
        <w:spacing w:after="60"/>
        <w:rPr>
          <w:rFonts w:ascii="Arial" w:eastAsia="Arial" w:hAnsi="Arial" w:cs="Arial"/>
          <w:lang w:val="en-IE"/>
        </w:rPr>
      </w:pPr>
      <w:r w:rsidRPr="00D63F5A">
        <w:rPr>
          <w:rFonts w:ascii="Arial" w:eastAsia="Arial" w:hAnsi="Arial" w:cs="Arial"/>
          <w:lang w:val="en-IE"/>
        </w:rPr>
        <w:t>The process/</w:t>
      </w:r>
      <w:r w:rsidRPr="00F86B1C">
        <w:rPr>
          <w:rFonts w:ascii="Arial" w:eastAsia="Arial" w:hAnsi="Arial" w:cs="Arial"/>
          <w:lang w:val="en-IE"/>
        </w:rPr>
        <w:t>road map for the establishment and development of the co-investment project “</w:t>
      </w:r>
      <w:r w:rsidRPr="00F86B1C">
        <w:rPr>
          <w:rFonts w:ascii="Arial" w:eastAsia="Arial" w:hAnsi="Arial" w:cs="Arial"/>
          <w:i/>
          <w:lang w:val="en-IE"/>
        </w:rPr>
        <w:t>m</w:t>
      </w:r>
      <w:r w:rsidRPr="00D63F5A">
        <w:rPr>
          <w:rFonts w:ascii="Arial" w:eastAsia="Arial" w:hAnsi="Arial" w:cs="Arial"/>
          <w:i/>
          <w:lang w:val="en-IE"/>
        </w:rPr>
        <w:t>ust be set in advance, shall be clearly explained in writing to any potential co-investor, and all significant milestones shall be clearly communicated to all undertakings without any discrimination</w:t>
      </w:r>
      <w:r>
        <w:rPr>
          <w:rFonts w:ascii="Arial" w:eastAsia="Arial" w:hAnsi="Arial" w:cs="Arial"/>
          <w:lang w:val="en-IE"/>
        </w:rPr>
        <w:t>”.</w:t>
      </w:r>
    </w:p>
    <w:p w14:paraId="25D18373" w14:textId="5F3148DC" w:rsidR="00D25473" w:rsidRPr="008D5996" w:rsidRDefault="0092125B" w:rsidP="009A3A04">
      <w:pPr>
        <w:pStyle w:val="ListParagraph"/>
        <w:numPr>
          <w:ilvl w:val="0"/>
          <w:numId w:val="47"/>
        </w:numPr>
        <w:spacing w:after="60"/>
        <w:contextualSpacing w:val="0"/>
        <w:rPr>
          <w:rFonts w:ascii="Arial" w:eastAsia="Arial" w:hAnsi="Arial" w:cs="Arial"/>
          <w:lang w:val="en-GB"/>
        </w:rPr>
      </w:pPr>
      <w:r>
        <w:rPr>
          <w:rFonts w:ascii="Arial" w:eastAsia="Arial" w:hAnsi="Arial" w:cs="Arial"/>
          <w:lang w:val="en-GB"/>
        </w:rPr>
        <w:t>Concerning</w:t>
      </w:r>
      <w:r w:rsidR="00D25473" w:rsidRPr="008D5996">
        <w:rPr>
          <w:rFonts w:ascii="Arial" w:eastAsia="Arial" w:hAnsi="Arial" w:cs="Arial"/>
          <w:lang w:val="en-GB"/>
        </w:rPr>
        <w:t xml:space="preserve"> the information to be published on the website (point </w:t>
      </w:r>
      <w:r>
        <w:rPr>
          <w:rFonts w:ascii="Arial" w:eastAsia="Arial" w:hAnsi="Arial" w:cs="Arial"/>
          <w:lang w:val="en-GB"/>
        </w:rPr>
        <w:t xml:space="preserve">a. </w:t>
      </w:r>
      <w:r w:rsidR="00D25473">
        <w:rPr>
          <w:rFonts w:ascii="Arial" w:eastAsia="Arial" w:hAnsi="Arial" w:cs="Arial"/>
          <w:lang w:val="en-GB"/>
        </w:rPr>
        <w:t>listed above</w:t>
      </w:r>
      <w:r w:rsidR="00D25473" w:rsidRPr="008D5996">
        <w:rPr>
          <w:rFonts w:ascii="Arial" w:eastAsia="Arial" w:hAnsi="Arial" w:cs="Arial"/>
          <w:lang w:val="en-GB"/>
        </w:rPr>
        <w:t xml:space="preserve">) of the SMP undertaking, the published offer should include information that is essential to allow potential co-investors to judge whether they </w:t>
      </w:r>
      <w:r w:rsidR="00D25473">
        <w:rPr>
          <w:rFonts w:ascii="Arial" w:eastAsia="Arial" w:hAnsi="Arial" w:cs="Arial"/>
          <w:lang w:val="en-GB"/>
        </w:rPr>
        <w:t>might</w:t>
      </w:r>
      <w:r w:rsidR="00D25473" w:rsidRPr="008D5996">
        <w:rPr>
          <w:rFonts w:ascii="Arial" w:eastAsia="Arial" w:hAnsi="Arial" w:cs="Arial"/>
          <w:lang w:val="en-GB"/>
        </w:rPr>
        <w:t xml:space="preserve"> have an interest in the co-investment proposal. This information</w:t>
      </w:r>
      <w:r w:rsidR="00D25473">
        <w:rPr>
          <w:rFonts w:ascii="Arial" w:eastAsia="Arial" w:hAnsi="Arial" w:cs="Arial"/>
          <w:lang w:val="en-GB"/>
        </w:rPr>
        <w:t xml:space="preserve"> should include</w:t>
      </w:r>
      <w:r w:rsidR="00D25473" w:rsidRPr="008D5996">
        <w:rPr>
          <w:rFonts w:ascii="Arial" w:eastAsia="Arial" w:hAnsi="Arial" w:cs="Arial"/>
          <w:lang w:val="en-GB"/>
        </w:rPr>
        <w:t xml:space="preserve"> a </w:t>
      </w:r>
      <w:r w:rsidR="00D25473" w:rsidRPr="00670F38">
        <w:rPr>
          <w:rFonts w:ascii="Arial" w:eastAsia="Arial" w:hAnsi="Arial" w:cs="Arial"/>
          <w:lang w:val="en-GB"/>
        </w:rPr>
        <w:t>description of the co-investment project (</w:t>
      </w:r>
      <w:r w:rsidR="00D25473">
        <w:rPr>
          <w:rFonts w:ascii="Arial" w:eastAsia="Arial" w:hAnsi="Arial" w:cs="Arial"/>
          <w:lang w:val="en-GB"/>
        </w:rPr>
        <w:t>content of the project</w:t>
      </w:r>
      <w:r w:rsidR="00D25473" w:rsidRPr="00670F38">
        <w:rPr>
          <w:rFonts w:ascii="Arial" w:eastAsia="Arial" w:hAnsi="Arial" w:cs="Arial"/>
          <w:lang w:val="en-GB"/>
        </w:rPr>
        <w:t xml:space="preserve">, including technical characteristics and the geographical area/areas involved </w:t>
      </w:r>
      <w:r w:rsidR="00D25473" w:rsidRPr="00670F38">
        <w:rPr>
          <w:rFonts w:ascii="Arial" w:eastAsia="Arial" w:hAnsi="Arial" w:cs="Arial"/>
          <w:lang w:val="en-IE"/>
        </w:rPr>
        <w:t>and</w:t>
      </w:r>
      <w:r w:rsidR="00D25473" w:rsidRPr="00D63F5A">
        <w:rPr>
          <w:rFonts w:ascii="Arial" w:eastAsia="Arial" w:hAnsi="Arial" w:cs="Arial"/>
          <w:i/>
          <w:lang w:val="en-IE"/>
        </w:rPr>
        <w:t xml:space="preserve"> </w:t>
      </w:r>
      <w:r w:rsidR="00D25473">
        <w:rPr>
          <w:rFonts w:ascii="Arial" w:eastAsia="Arial" w:hAnsi="Arial" w:cs="Arial"/>
          <w:i/>
        </w:rPr>
        <w:t>“</w:t>
      </w:r>
      <w:r w:rsidR="00D25473" w:rsidRPr="00D63F5A">
        <w:rPr>
          <w:rFonts w:ascii="Arial" w:eastAsia="Arial" w:hAnsi="Arial" w:cs="Arial"/>
          <w:i/>
          <w:lang w:val="en-IE"/>
        </w:rPr>
        <w:t>all significant milestones</w:t>
      </w:r>
      <w:r w:rsidR="00D25473">
        <w:rPr>
          <w:rFonts w:ascii="Arial" w:eastAsia="Arial" w:hAnsi="Arial" w:cs="Arial"/>
          <w:i/>
          <w:lang w:val="en-IE"/>
        </w:rPr>
        <w:t>”</w:t>
      </w:r>
      <w:r w:rsidR="00D25473" w:rsidRPr="008D5996">
        <w:rPr>
          <w:rFonts w:ascii="Arial" w:eastAsia="Arial" w:hAnsi="Arial" w:cs="Arial"/>
          <w:lang w:val="en-GB"/>
        </w:rPr>
        <w:t>).</w:t>
      </w:r>
      <w:r w:rsidR="00D25473">
        <w:rPr>
          <w:rFonts w:ascii="Arial" w:eastAsia="Arial" w:hAnsi="Arial" w:cs="Arial"/>
          <w:lang w:val="en-GB"/>
        </w:rPr>
        <w:t xml:space="preserve"> </w:t>
      </w:r>
    </w:p>
    <w:p w14:paraId="71AC8C18" w14:textId="4B0FF0DA" w:rsidR="00D25473" w:rsidRPr="008D5996" w:rsidRDefault="00D25473" w:rsidP="00023C8A">
      <w:pPr>
        <w:pStyle w:val="ListParagraph"/>
        <w:numPr>
          <w:ilvl w:val="0"/>
          <w:numId w:val="47"/>
        </w:numPr>
        <w:spacing w:after="60"/>
        <w:rPr>
          <w:rFonts w:ascii="Arial" w:eastAsia="Arial" w:hAnsi="Arial" w:cs="Arial"/>
          <w:lang w:val="en-GB"/>
        </w:rPr>
      </w:pPr>
      <w:r w:rsidRPr="008D5996">
        <w:rPr>
          <w:rFonts w:ascii="Arial" w:eastAsia="Arial" w:hAnsi="Arial" w:cs="Arial"/>
          <w:lang w:val="en-GB"/>
        </w:rPr>
        <w:t xml:space="preserve">Regarding the information to be made available without undue delay to any potential bidder that has expressed an interest (point </w:t>
      </w:r>
      <w:r w:rsidR="0092125B">
        <w:rPr>
          <w:rFonts w:ascii="Arial" w:eastAsia="Arial" w:hAnsi="Arial" w:cs="Arial"/>
          <w:lang w:val="en-GB"/>
        </w:rPr>
        <w:t xml:space="preserve">b. </w:t>
      </w:r>
      <w:r>
        <w:rPr>
          <w:rFonts w:ascii="Arial" w:eastAsia="Arial" w:hAnsi="Arial" w:cs="Arial"/>
          <w:lang w:val="en-GB"/>
        </w:rPr>
        <w:t xml:space="preserve">listed </w:t>
      </w:r>
      <w:r w:rsidR="0092125B">
        <w:rPr>
          <w:rFonts w:ascii="Arial" w:eastAsia="Arial" w:hAnsi="Arial" w:cs="Arial"/>
          <w:lang w:val="en-GB"/>
        </w:rPr>
        <w:t>above</w:t>
      </w:r>
      <w:r w:rsidRPr="008D5996">
        <w:rPr>
          <w:rFonts w:ascii="Arial" w:eastAsia="Arial" w:hAnsi="Arial" w:cs="Arial"/>
          <w:lang w:val="en-GB"/>
        </w:rPr>
        <w:t xml:space="preserve">), Annex IV, point b </w:t>
      </w:r>
      <w:r>
        <w:rPr>
          <w:rFonts w:ascii="Arial" w:eastAsia="Arial" w:hAnsi="Arial" w:cs="Arial"/>
          <w:lang w:val="en-GB"/>
        </w:rPr>
        <w:t>refers to disclosure of</w:t>
      </w:r>
      <w:r w:rsidRPr="008D5996">
        <w:rPr>
          <w:rFonts w:ascii="Arial" w:eastAsia="Arial" w:hAnsi="Arial" w:cs="Arial"/>
          <w:lang w:val="en-GB"/>
        </w:rPr>
        <w:t xml:space="preserve"> the full detailed terms</w:t>
      </w:r>
      <w:r>
        <w:rPr>
          <w:rFonts w:ascii="Arial" w:eastAsia="Arial" w:hAnsi="Arial" w:cs="Arial"/>
          <w:lang w:val="en-GB"/>
        </w:rPr>
        <w:t>, which</w:t>
      </w:r>
      <w:r w:rsidR="001B7388">
        <w:rPr>
          <w:rFonts w:ascii="Arial" w:eastAsia="Arial" w:hAnsi="Arial" w:cs="Arial"/>
          <w:lang w:val="en-GB"/>
        </w:rPr>
        <w:t xml:space="preserve"> </w:t>
      </w:r>
      <w:r>
        <w:rPr>
          <w:rFonts w:ascii="Arial" w:eastAsia="Arial" w:hAnsi="Arial" w:cs="Arial"/>
          <w:lang w:val="en-GB"/>
        </w:rPr>
        <w:t>are</w:t>
      </w:r>
      <w:r w:rsidRPr="005A203A">
        <w:rPr>
          <w:rFonts w:ascii="Arial" w:eastAsia="Arial" w:hAnsi="Arial" w:cs="Arial"/>
          <w:lang w:val="en-GB"/>
        </w:rPr>
        <w:t xml:space="preserve"> to include, but not necessarily be limited to, the following terms</w:t>
      </w:r>
      <w:r w:rsidR="009A3A04">
        <w:rPr>
          <w:rFonts w:ascii="Arial" w:eastAsia="Arial" w:hAnsi="Arial" w:cs="Arial"/>
          <w:lang w:val="en-GB"/>
        </w:rPr>
        <w:t>:</w:t>
      </w:r>
    </w:p>
    <w:p w14:paraId="03877334" w14:textId="77777777" w:rsidR="00D25473" w:rsidRDefault="00D25473" w:rsidP="00D25473">
      <w:pPr>
        <w:numPr>
          <w:ilvl w:val="0"/>
          <w:numId w:val="20"/>
        </w:numPr>
        <w:contextualSpacing/>
        <w:rPr>
          <w:rFonts w:ascii="Arial" w:eastAsia="Arial" w:hAnsi="Arial" w:cs="Arial"/>
          <w:lang w:val="en-GB"/>
        </w:rPr>
      </w:pPr>
      <w:r>
        <w:rPr>
          <w:rFonts w:ascii="Arial" w:eastAsia="Arial" w:hAnsi="Arial" w:cs="Arial"/>
          <w:lang w:val="en-GB"/>
        </w:rPr>
        <w:t>t</w:t>
      </w:r>
      <w:r w:rsidRPr="00565BB9">
        <w:rPr>
          <w:rFonts w:ascii="Arial" w:eastAsia="Arial" w:hAnsi="Arial" w:cs="Arial"/>
          <w:lang w:val="en-GB"/>
        </w:rPr>
        <w:t xml:space="preserve">he </w:t>
      </w:r>
      <w:r w:rsidRPr="00565BB9">
        <w:rPr>
          <w:rFonts w:ascii="Arial" w:eastAsia="Arial" w:hAnsi="Arial" w:cs="Arial"/>
          <w:u w:val="single"/>
          <w:lang w:val="en-GB"/>
        </w:rPr>
        <w:t>legal form</w:t>
      </w:r>
      <w:r w:rsidRPr="00565BB9">
        <w:rPr>
          <w:rFonts w:ascii="Arial" w:eastAsia="Arial" w:hAnsi="Arial" w:cs="Arial"/>
          <w:lang w:val="en-GB"/>
        </w:rPr>
        <w:t xml:space="preserve"> of the co-investment agreement (</w:t>
      </w:r>
      <w:r w:rsidRPr="00565BB9">
        <w:rPr>
          <w:rFonts w:ascii="Arial" w:eastAsia="Arial" w:hAnsi="Arial" w:cs="Arial"/>
          <w:i/>
          <w:lang w:val="en-GB"/>
        </w:rPr>
        <w:t>e.g., (a) special purpose vehicle (</w:t>
      </w:r>
      <w:r>
        <w:rPr>
          <w:rFonts w:ascii="Arial" w:eastAsia="Arial" w:hAnsi="Arial" w:cs="Arial"/>
          <w:i/>
          <w:lang w:val="en-GB"/>
        </w:rPr>
        <w:t>e.g. Joint venture)</w:t>
      </w:r>
      <w:r w:rsidRPr="00565BB9">
        <w:rPr>
          <w:rFonts w:ascii="Arial" w:eastAsia="Arial" w:hAnsi="Arial" w:cs="Arial"/>
          <w:i/>
          <w:lang w:val="en-GB"/>
        </w:rPr>
        <w:t xml:space="preserve">, (b) </w:t>
      </w:r>
      <w:r>
        <w:rPr>
          <w:rFonts w:ascii="Arial" w:eastAsia="Arial" w:hAnsi="Arial" w:cs="Arial"/>
          <w:i/>
          <w:lang w:val="en-GB"/>
        </w:rPr>
        <w:t xml:space="preserve">reciprocal access model (e.g. </w:t>
      </w:r>
      <w:r w:rsidRPr="00565BB9">
        <w:rPr>
          <w:rFonts w:ascii="Arial" w:eastAsia="Arial" w:hAnsi="Arial" w:cs="Arial"/>
          <w:i/>
          <w:lang w:val="en-GB"/>
        </w:rPr>
        <w:t xml:space="preserve">joint-build consortium (with terms regarding </w:t>
      </w:r>
      <w:r w:rsidRPr="00F42A70">
        <w:rPr>
          <w:rFonts w:ascii="Arial" w:eastAsia="Arial" w:hAnsi="Arial" w:cs="Arial"/>
          <w:i/>
          <w:lang w:val="en-GB"/>
        </w:rPr>
        <w:t>financial consid</w:t>
      </w:r>
      <w:r w:rsidRPr="00E64864">
        <w:rPr>
          <w:rFonts w:ascii="Arial" w:eastAsia="Arial" w:hAnsi="Arial" w:cs="Arial"/>
          <w:i/>
          <w:lang w:val="en-GB"/>
        </w:rPr>
        <w:t>eration required for the acquisition of specific rights, during the building phase and during the exploitation phase, for example</w:t>
      </w:r>
      <w:r w:rsidRPr="00565BB9">
        <w:rPr>
          <w:rFonts w:ascii="Arial" w:eastAsia="Arial" w:hAnsi="Arial" w:cs="Arial"/>
          <w:i/>
          <w:lang w:val="en-GB"/>
        </w:rPr>
        <w:t xml:space="preserve"> indefeasible rights of use contracts (“IRUs”)), (c) </w:t>
      </w:r>
      <w:r>
        <w:rPr>
          <w:rFonts w:ascii="Arial" w:eastAsia="Arial" w:hAnsi="Arial" w:cs="Arial"/>
          <w:i/>
          <w:lang w:val="en-GB"/>
        </w:rPr>
        <w:t xml:space="preserve">one way access model </w:t>
      </w:r>
      <w:r w:rsidRPr="00565BB9">
        <w:rPr>
          <w:rFonts w:ascii="Arial" w:eastAsia="Arial" w:hAnsi="Arial" w:cs="Arial"/>
          <w:i/>
          <w:lang w:val="en-GB"/>
        </w:rPr>
        <w:t>manage</w:t>
      </w:r>
      <w:r>
        <w:rPr>
          <w:rFonts w:ascii="Arial" w:eastAsia="Arial" w:hAnsi="Arial" w:cs="Arial"/>
          <w:i/>
          <w:lang w:val="en-GB"/>
        </w:rPr>
        <w:t>d</w:t>
      </w:r>
      <w:r w:rsidRPr="00565BB9">
        <w:rPr>
          <w:rFonts w:ascii="Arial" w:eastAsia="Arial" w:hAnsi="Arial" w:cs="Arial"/>
          <w:i/>
          <w:lang w:val="en-GB"/>
        </w:rPr>
        <w:t xml:space="preserve"> by SMP operator</w:t>
      </w:r>
      <w:r w:rsidRPr="00565BB9">
        <w:rPr>
          <w:rFonts w:ascii="Arial" w:eastAsia="Arial" w:hAnsi="Arial" w:cs="Arial"/>
          <w:lang w:val="en-GB"/>
        </w:rPr>
        <w:t>);</w:t>
      </w:r>
    </w:p>
    <w:p w14:paraId="7E5B3661" w14:textId="77777777" w:rsidR="00D25473" w:rsidRPr="003F758D" w:rsidRDefault="00D25473" w:rsidP="00D25473">
      <w:pPr>
        <w:numPr>
          <w:ilvl w:val="0"/>
          <w:numId w:val="20"/>
        </w:numPr>
        <w:contextualSpacing/>
        <w:rPr>
          <w:rFonts w:eastAsia="Arial" w:cs="Arial"/>
          <w:iCs/>
        </w:rPr>
      </w:pPr>
      <w:r w:rsidRPr="003F758D">
        <w:rPr>
          <w:rFonts w:ascii="Arial" w:eastAsia="Arial" w:hAnsi="Arial" w:cs="Arial"/>
          <w:iCs/>
          <w:lang w:val="en-GB"/>
        </w:rPr>
        <w:lastRenderedPageBreak/>
        <w:t>financial conditions and conditions for late entry;</w:t>
      </w:r>
    </w:p>
    <w:p w14:paraId="0C4212B0" w14:textId="77777777" w:rsidR="00D25473" w:rsidRPr="003F758D" w:rsidRDefault="00D25473" w:rsidP="00D25473">
      <w:pPr>
        <w:numPr>
          <w:ilvl w:val="0"/>
          <w:numId w:val="20"/>
        </w:numPr>
        <w:contextualSpacing/>
        <w:rPr>
          <w:rFonts w:eastAsia="Arial" w:cs="Arial"/>
          <w:iCs/>
        </w:rPr>
      </w:pPr>
      <w:r w:rsidRPr="003F758D">
        <w:rPr>
          <w:rFonts w:ascii="Arial" w:eastAsia="Arial" w:hAnsi="Arial" w:cs="Arial"/>
          <w:iCs/>
          <w:lang w:val="en-GB"/>
        </w:rPr>
        <w:t>technical characteristics of potential wholesale products or more detailed information about the deployment areas (e.g. household-level data)</w:t>
      </w:r>
      <w:r>
        <w:rPr>
          <w:rFonts w:ascii="Arial" w:eastAsia="Arial" w:hAnsi="Arial" w:cs="Arial"/>
          <w:iCs/>
          <w:lang w:val="en-GB"/>
        </w:rPr>
        <w:t>;</w:t>
      </w:r>
      <w:r w:rsidRPr="003F758D">
        <w:rPr>
          <w:rFonts w:ascii="Arial" w:eastAsia="Arial" w:hAnsi="Arial" w:cs="Arial"/>
          <w:iCs/>
          <w:lang w:val="en-GB"/>
        </w:rPr>
        <w:t xml:space="preserve"> </w:t>
      </w:r>
    </w:p>
    <w:p w14:paraId="5DD3AFB2" w14:textId="77777777" w:rsidR="00D25473" w:rsidRPr="003F758D" w:rsidRDefault="00D25473" w:rsidP="00D25473">
      <w:pPr>
        <w:numPr>
          <w:ilvl w:val="0"/>
          <w:numId w:val="20"/>
        </w:numPr>
        <w:contextualSpacing/>
        <w:rPr>
          <w:rFonts w:ascii="Arial" w:eastAsia="Arial" w:hAnsi="Arial" w:cs="Arial"/>
          <w:iCs/>
          <w:lang w:val="en-GB"/>
        </w:rPr>
      </w:pPr>
      <w:r w:rsidRPr="003F758D">
        <w:rPr>
          <w:rFonts w:ascii="Arial" w:eastAsia="Arial" w:hAnsi="Arial" w:cs="Arial"/>
          <w:iCs/>
          <w:lang w:val="en-GB"/>
        </w:rPr>
        <w:t>conditions and the adaption mechanism related to access seekers as per Article 76 (1) (d)</w:t>
      </w:r>
      <w:r>
        <w:rPr>
          <w:rFonts w:ascii="Arial" w:eastAsia="Arial" w:hAnsi="Arial" w:cs="Arial"/>
          <w:iCs/>
          <w:lang w:val="en-GB"/>
        </w:rPr>
        <w:t>;</w:t>
      </w:r>
    </w:p>
    <w:p w14:paraId="1D081DA0" w14:textId="77777777" w:rsidR="00D25473" w:rsidRPr="003F758D" w:rsidRDefault="00D25473" w:rsidP="00023C8A">
      <w:pPr>
        <w:numPr>
          <w:ilvl w:val="0"/>
          <w:numId w:val="20"/>
        </w:numPr>
        <w:spacing w:after="60"/>
        <w:contextualSpacing/>
        <w:rPr>
          <w:rFonts w:ascii="Arial" w:eastAsia="Arial" w:hAnsi="Arial" w:cs="Arial"/>
          <w:iCs/>
          <w:lang w:val="en-GB"/>
        </w:rPr>
      </w:pPr>
      <w:r w:rsidRPr="003F758D">
        <w:rPr>
          <w:rFonts w:ascii="Arial" w:eastAsia="Arial" w:hAnsi="Arial" w:cs="Arial"/>
          <w:iCs/>
          <w:lang w:val="en-GB"/>
        </w:rPr>
        <w:t>the heads of term of the governance rules of the co-investment vehicle (when relevant).</w:t>
      </w:r>
    </w:p>
    <w:p w14:paraId="5B65546C" w14:textId="3CC10550" w:rsidR="00D25473" w:rsidRPr="008D5996" w:rsidRDefault="00D25473" w:rsidP="009A3A04">
      <w:pPr>
        <w:pStyle w:val="ListParagraph"/>
        <w:numPr>
          <w:ilvl w:val="0"/>
          <w:numId w:val="47"/>
        </w:numPr>
        <w:spacing w:after="60"/>
        <w:contextualSpacing w:val="0"/>
        <w:rPr>
          <w:rFonts w:ascii="Arial" w:eastAsia="Arial" w:hAnsi="Arial" w:cs="Times New Roman"/>
          <w:lang w:val="en-IE"/>
        </w:rPr>
      </w:pPr>
      <w:r w:rsidRPr="00ED585C">
        <w:rPr>
          <w:rFonts w:ascii="Arial" w:eastAsia="Arial" w:hAnsi="Arial" w:cs="Arial"/>
          <w:lang w:val="en-GB"/>
        </w:rPr>
        <w:t>On t</w:t>
      </w:r>
      <w:r w:rsidRPr="001E673E">
        <w:rPr>
          <w:rFonts w:ascii="Arial" w:eastAsia="Arial" w:hAnsi="Arial" w:cs="Arial"/>
          <w:lang w:val="en-GB"/>
        </w:rPr>
        <w:t>he process/road map</w:t>
      </w:r>
      <w:r w:rsidRPr="003F758D">
        <w:rPr>
          <w:rFonts w:ascii="Arial" w:eastAsia="Arial" w:hAnsi="Arial" w:cs="Arial"/>
          <w:lang w:val="en-GB"/>
        </w:rPr>
        <w:t xml:space="preserve"> </w:t>
      </w:r>
      <w:r w:rsidRPr="008D5996">
        <w:rPr>
          <w:rFonts w:ascii="Arial" w:eastAsia="Arial" w:hAnsi="Arial" w:cs="Arial"/>
          <w:lang w:val="en-GB"/>
        </w:rPr>
        <w:t xml:space="preserve">(point </w:t>
      </w:r>
      <w:r w:rsidR="0092125B">
        <w:rPr>
          <w:rFonts w:ascii="Arial" w:eastAsia="Arial" w:hAnsi="Arial" w:cs="Arial"/>
          <w:lang w:val="en-GB"/>
        </w:rPr>
        <w:t xml:space="preserve">c. </w:t>
      </w:r>
      <w:r>
        <w:rPr>
          <w:rFonts w:ascii="Arial" w:eastAsia="Arial" w:hAnsi="Arial" w:cs="Arial"/>
          <w:lang w:val="en-GB"/>
        </w:rPr>
        <w:t xml:space="preserve">listed </w:t>
      </w:r>
      <w:r w:rsidR="0092125B">
        <w:rPr>
          <w:rFonts w:ascii="Arial" w:eastAsia="Arial" w:hAnsi="Arial" w:cs="Arial"/>
          <w:lang w:val="en-GB"/>
        </w:rPr>
        <w:t>above</w:t>
      </w:r>
      <w:r w:rsidRPr="008D5996">
        <w:rPr>
          <w:rFonts w:ascii="Arial" w:eastAsia="Arial" w:hAnsi="Arial" w:cs="Arial"/>
          <w:lang w:val="en-GB"/>
        </w:rPr>
        <w:t xml:space="preserve">), the </w:t>
      </w:r>
      <w:r w:rsidR="008531B5">
        <w:rPr>
          <w:rFonts w:ascii="Arial" w:eastAsia="Arial" w:hAnsi="Arial" w:cs="Arial"/>
          <w:lang w:val="en-GB"/>
        </w:rPr>
        <w:t>milestones</w:t>
      </w:r>
      <w:r w:rsidR="008531B5" w:rsidRPr="008D5996">
        <w:rPr>
          <w:rFonts w:ascii="Arial" w:eastAsia="Arial" w:hAnsi="Arial" w:cs="Arial"/>
          <w:lang w:val="en-GB"/>
        </w:rPr>
        <w:t xml:space="preserve"> </w:t>
      </w:r>
      <w:r w:rsidRPr="008D5996">
        <w:rPr>
          <w:rFonts w:ascii="Arial" w:eastAsia="Arial" w:hAnsi="Arial" w:cs="Arial"/>
          <w:lang w:val="en-GB"/>
        </w:rPr>
        <w:t xml:space="preserve">of the roadmap could also be published on the website and the detailed terms </w:t>
      </w:r>
      <w:r>
        <w:rPr>
          <w:rFonts w:ascii="Arial" w:eastAsia="Arial" w:hAnsi="Arial" w:cs="Arial"/>
          <w:lang w:val="en-GB"/>
        </w:rPr>
        <w:t xml:space="preserve">would then be </w:t>
      </w:r>
      <w:r w:rsidRPr="008D5996">
        <w:rPr>
          <w:rFonts w:ascii="Arial" w:eastAsia="Arial" w:hAnsi="Arial" w:cs="Arial"/>
          <w:lang w:val="en-GB"/>
        </w:rPr>
        <w:t>communicated in writing to any potential co-investor afterwards</w:t>
      </w:r>
      <w:r>
        <w:rPr>
          <w:rFonts w:ascii="Arial" w:eastAsia="Arial" w:hAnsi="Arial" w:cs="Arial"/>
          <w:lang w:val="en-GB"/>
        </w:rPr>
        <w:t>,</w:t>
      </w:r>
      <w:r w:rsidRPr="008D5996">
        <w:rPr>
          <w:rFonts w:ascii="Arial" w:eastAsia="Arial" w:hAnsi="Arial" w:cs="Arial"/>
          <w:lang w:val="en-GB"/>
        </w:rPr>
        <w:t xml:space="preserve"> upon request</w:t>
      </w:r>
      <w:r>
        <w:rPr>
          <w:rFonts w:ascii="Arial" w:eastAsia="Arial" w:hAnsi="Arial" w:cs="Arial"/>
          <w:lang w:val="en-GB"/>
        </w:rPr>
        <w:t>,</w:t>
      </w:r>
      <w:r w:rsidRPr="008D5996">
        <w:rPr>
          <w:rFonts w:ascii="Arial" w:eastAsia="Arial" w:hAnsi="Arial" w:cs="Arial"/>
          <w:lang w:val="en-GB"/>
        </w:rPr>
        <w:t xml:space="preserve"> in a non-discriminatory manner.</w:t>
      </w:r>
      <w:r w:rsidR="001B7388">
        <w:rPr>
          <w:rFonts w:ascii="Arial" w:eastAsia="Arial" w:hAnsi="Arial" w:cs="Arial"/>
          <w:lang w:val="en-GB"/>
        </w:rPr>
        <w:t xml:space="preserve"> </w:t>
      </w:r>
    </w:p>
    <w:p w14:paraId="59649025" w14:textId="2A2CABDD" w:rsidR="00D25473" w:rsidRPr="007E345D" w:rsidRDefault="00D25473" w:rsidP="009A3A04">
      <w:pPr>
        <w:pStyle w:val="ListParagraph"/>
        <w:numPr>
          <w:ilvl w:val="0"/>
          <w:numId w:val="47"/>
        </w:numPr>
        <w:spacing w:after="60"/>
        <w:contextualSpacing w:val="0"/>
        <w:rPr>
          <w:rFonts w:ascii="Arial" w:eastAsia="Arial" w:hAnsi="Arial" w:cs="Arial"/>
          <w:lang w:val="en-GB"/>
        </w:rPr>
      </w:pPr>
      <w:r w:rsidRPr="008D5996">
        <w:rPr>
          <w:rFonts w:ascii="Arial" w:eastAsia="Arial" w:hAnsi="Arial" w:cs="Arial"/>
          <w:lang w:val="en-GB"/>
        </w:rPr>
        <w:t xml:space="preserve">As noted above, there are different levels of transparency required in terms of Annex IV with regards to the information included in the co-investment offer. While </w:t>
      </w:r>
      <w:r>
        <w:rPr>
          <w:rFonts w:ascii="Arial" w:eastAsia="Arial" w:hAnsi="Arial" w:cs="Arial"/>
          <w:lang w:val="en-GB"/>
        </w:rPr>
        <w:t>essential elements</w:t>
      </w:r>
      <w:r w:rsidRPr="008D5996">
        <w:rPr>
          <w:rFonts w:ascii="Arial" w:eastAsia="Arial" w:hAnsi="Arial" w:cs="Arial"/>
          <w:lang w:val="en-GB"/>
        </w:rPr>
        <w:t xml:space="preserve"> must be made publicly available on the website of the undertaking, full detailed terms would not be made available immediately through publication</w:t>
      </w:r>
      <w:r>
        <w:rPr>
          <w:rFonts w:ascii="Arial" w:eastAsia="Arial" w:hAnsi="Arial" w:cs="Arial"/>
          <w:lang w:val="en-GB"/>
        </w:rPr>
        <w:t>,</w:t>
      </w:r>
      <w:r w:rsidRPr="008D5996">
        <w:rPr>
          <w:rFonts w:ascii="Arial" w:eastAsia="Arial" w:hAnsi="Arial" w:cs="Arial"/>
          <w:lang w:val="en-GB"/>
        </w:rPr>
        <w:t xml:space="preserve"> but only after a potential bidder expresses interest.</w:t>
      </w:r>
      <w:r w:rsidR="001B7388">
        <w:rPr>
          <w:rFonts w:ascii="Arial" w:eastAsia="Arial" w:hAnsi="Arial" w:cs="Arial"/>
          <w:lang w:val="en-GB"/>
        </w:rPr>
        <w:t xml:space="preserve"> </w:t>
      </w:r>
      <w:r>
        <w:rPr>
          <w:rFonts w:ascii="Arial" w:eastAsia="Arial" w:hAnsi="Arial" w:cs="Arial"/>
        </w:rPr>
        <w:t xml:space="preserve">In any case, when the SMP operator presents commitments, </w:t>
      </w:r>
      <w:r>
        <w:rPr>
          <w:rFonts w:ascii="Arial" w:eastAsia="Arial" w:hAnsi="Arial" w:cs="Arial"/>
          <w:lang w:val="en-GB"/>
        </w:rPr>
        <w:t>they</w:t>
      </w:r>
      <w:r w:rsidRPr="002E20D9">
        <w:rPr>
          <w:rFonts w:ascii="Arial" w:eastAsia="Arial" w:hAnsi="Arial" w:cs="Arial"/>
          <w:lang w:val="en-GB"/>
        </w:rPr>
        <w:t xml:space="preserve"> need to be</w:t>
      </w:r>
      <w:r>
        <w:rPr>
          <w:rFonts w:ascii="Arial" w:eastAsia="Arial" w:hAnsi="Arial" w:cs="Arial"/>
          <w:lang w:val="en-GB"/>
        </w:rPr>
        <w:t xml:space="preserve"> complete and</w:t>
      </w:r>
      <w:r w:rsidRPr="002E20D9">
        <w:rPr>
          <w:rFonts w:ascii="Arial" w:eastAsia="Arial" w:hAnsi="Arial" w:cs="Arial"/>
          <w:lang w:val="en-GB"/>
        </w:rPr>
        <w:t xml:space="preserve"> sufficiently clear and precise </w:t>
      </w:r>
      <w:r w:rsidR="0092125B">
        <w:rPr>
          <w:rFonts w:ascii="Arial" w:eastAsia="Arial" w:hAnsi="Arial" w:cs="Arial"/>
          <w:lang w:val="en-GB"/>
        </w:rPr>
        <w:t xml:space="preserve">for </w:t>
      </w:r>
      <w:r w:rsidRPr="002E20D9">
        <w:rPr>
          <w:rFonts w:ascii="Arial" w:eastAsia="Arial" w:hAnsi="Arial" w:cs="Arial"/>
          <w:lang w:val="en-GB"/>
        </w:rPr>
        <w:t xml:space="preserve">NRAs </w:t>
      </w:r>
      <w:r w:rsidR="0092125B">
        <w:rPr>
          <w:rFonts w:ascii="Arial" w:eastAsia="Arial" w:hAnsi="Arial" w:cs="Arial"/>
          <w:lang w:val="en-GB"/>
        </w:rPr>
        <w:t xml:space="preserve">to </w:t>
      </w:r>
      <w:r w:rsidRPr="002E20D9">
        <w:rPr>
          <w:rFonts w:ascii="Arial" w:eastAsia="Arial" w:hAnsi="Arial" w:cs="Arial"/>
          <w:lang w:val="en-GB"/>
        </w:rPr>
        <w:t xml:space="preserve">verify the compliance with </w:t>
      </w:r>
      <w:r w:rsidR="00046EDD">
        <w:rPr>
          <w:rFonts w:ascii="Arial" w:eastAsia="Arial" w:hAnsi="Arial" w:cs="Arial"/>
          <w:lang w:val="en-GB"/>
        </w:rPr>
        <w:t>Article</w:t>
      </w:r>
      <w:r w:rsidRPr="002E20D9">
        <w:rPr>
          <w:rFonts w:ascii="Arial" w:eastAsia="Arial" w:hAnsi="Arial" w:cs="Arial"/>
          <w:lang w:val="en-GB"/>
        </w:rPr>
        <w:t xml:space="preserve"> 76 and Annex IV</w:t>
      </w:r>
      <w:r>
        <w:rPr>
          <w:rFonts w:ascii="Arial" w:eastAsia="Arial" w:hAnsi="Arial" w:cs="Arial"/>
          <w:lang w:val="en-GB"/>
        </w:rPr>
        <w:t>,</w:t>
      </w:r>
      <w:r w:rsidRPr="002E20D9">
        <w:rPr>
          <w:rFonts w:ascii="Arial" w:eastAsia="Arial" w:hAnsi="Arial" w:cs="Arial"/>
          <w:lang w:val="en-GB"/>
        </w:rPr>
        <w:t xml:space="preserve"> and </w:t>
      </w:r>
      <w:r w:rsidR="0092125B">
        <w:rPr>
          <w:rFonts w:ascii="Arial" w:eastAsia="Arial" w:hAnsi="Arial" w:cs="Arial"/>
          <w:lang w:val="en-GB"/>
        </w:rPr>
        <w:t xml:space="preserve">for </w:t>
      </w:r>
      <w:r w:rsidRPr="002E20D9">
        <w:rPr>
          <w:rFonts w:ascii="Arial" w:eastAsia="Arial" w:hAnsi="Arial" w:cs="Arial"/>
          <w:lang w:val="en-GB"/>
        </w:rPr>
        <w:t xml:space="preserve">stakeholders </w:t>
      </w:r>
      <w:r w:rsidR="0092125B">
        <w:rPr>
          <w:rFonts w:ascii="Arial" w:eastAsia="Arial" w:hAnsi="Arial" w:cs="Arial"/>
          <w:lang w:val="en-GB"/>
        </w:rPr>
        <w:t xml:space="preserve">to be </w:t>
      </w:r>
      <w:r w:rsidRPr="002E20D9">
        <w:rPr>
          <w:rFonts w:ascii="Arial" w:eastAsia="Arial" w:hAnsi="Arial" w:cs="Arial"/>
          <w:lang w:val="en-GB"/>
        </w:rPr>
        <w:t xml:space="preserve">able to </w:t>
      </w:r>
      <w:r w:rsidR="0092125B">
        <w:rPr>
          <w:rFonts w:ascii="Arial" w:eastAsia="Arial" w:hAnsi="Arial" w:cs="Arial"/>
          <w:lang w:val="en-GB"/>
        </w:rPr>
        <w:t>contribute to the</w:t>
      </w:r>
      <w:r w:rsidR="0092125B" w:rsidRPr="002E20D9">
        <w:rPr>
          <w:rFonts w:ascii="Arial" w:eastAsia="Arial" w:hAnsi="Arial" w:cs="Arial"/>
          <w:lang w:val="en-GB"/>
        </w:rPr>
        <w:t xml:space="preserve"> </w:t>
      </w:r>
      <w:r w:rsidRPr="002E20D9">
        <w:rPr>
          <w:rFonts w:ascii="Arial" w:eastAsia="Arial" w:hAnsi="Arial" w:cs="Arial"/>
          <w:lang w:val="en-GB"/>
        </w:rPr>
        <w:t>market test with their comments</w:t>
      </w:r>
      <w:r>
        <w:rPr>
          <w:rFonts w:ascii="Arial" w:eastAsia="Arial" w:hAnsi="Arial" w:cs="Arial"/>
          <w:lang w:val="en-GB"/>
        </w:rPr>
        <w:t>.</w:t>
      </w:r>
      <w:r w:rsidRPr="002E20D9">
        <w:rPr>
          <w:rFonts w:ascii="Arial" w:eastAsia="Arial" w:hAnsi="Arial" w:cs="Arial"/>
          <w:lang w:val="en-GB"/>
        </w:rPr>
        <w:t xml:space="preserve"> </w:t>
      </w:r>
    </w:p>
    <w:p w14:paraId="01FABE47" w14:textId="6B61F100" w:rsidR="00D25473" w:rsidRDefault="00D25473" w:rsidP="009A3A04">
      <w:pPr>
        <w:pStyle w:val="ListParagraph"/>
        <w:numPr>
          <w:ilvl w:val="0"/>
          <w:numId w:val="47"/>
        </w:numPr>
        <w:spacing w:after="60"/>
        <w:contextualSpacing w:val="0"/>
        <w:rPr>
          <w:rFonts w:ascii="Arial" w:eastAsia="Arial" w:hAnsi="Arial" w:cs="Arial"/>
          <w:lang w:val="en-GB"/>
        </w:rPr>
      </w:pPr>
      <w:r w:rsidRPr="008D5996">
        <w:rPr>
          <w:rFonts w:ascii="Arial" w:eastAsia="Arial" w:hAnsi="Arial" w:cs="Arial"/>
          <w:lang w:val="en-GB"/>
        </w:rPr>
        <w:t>It is important that</w:t>
      </w:r>
      <w:r>
        <w:rPr>
          <w:rFonts w:ascii="Arial" w:eastAsia="Arial" w:hAnsi="Arial" w:cs="Arial"/>
          <w:lang w:val="en-GB"/>
        </w:rPr>
        <w:t xml:space="preserve"> the</w:t>
      </w:r>
      <w:r w:rsidRPr="008D5996">
        <w:rPr>
          <w:rFonts w:ascii="Arial" w:eastAsia="Arial" w:hAnsi="Arial" w:cs="Arial"/>
          <w:lang w:val="en-GB"/>
        </w:rPr>
        <w:t xml:space="preserve"> information </w:t>
      </w:r>
      <w:r>
        <w:rPr>
          <w:rFonts w:ascii="Arial" w:eastAsia="Arial" w:hAnsi="Arial" w:cs="Arial"/>
          <w:lang w:val="en-GB"/>
        </w:rPr>
        <w:t>should be</w:t>
      </w:r>
      <w:r w:rsidRPr="008D5996">
        <w:rPr>
          <w:rFonts w:ascii="Arial" w:eastAsia="Arial" w:hAnsi="Arial" w:cs="Arial"/>
          <w:lang w:val="en-GB"/>
        </w:rPr>
        <w:t xml:space="preserve"> available on a transparent and non-discriminatory basis. NRAs </w:t>
      </w:r>
      <w:r>
        <w:rPr>
          <w:rFonts w:ascii="Arial" w:eastAsia="Arial" w:hAnsi="Arial" w:cs="Arial"/>
          <w:lang w:val="en-GB"/>
        </w:rPr>
        <w:t>must take into account</w:t>
      </w:r>
      <w:r w:rsidRPr="008D5996">
        <w:rPr>
          <w:rFonts w:ascii="Arial" w:eastAsia="Arial" w:hAnsi="Arial" w:cs="Arial"/>
          <w:lang w:val="en-GB"/>
        </w:rPr>
        <w:t xml:space="preserve"> the rights and obligations of undertakings and potential co-investors with regards to commercially sensitive/confidential information and without prejudice to any affected party and/or stakeholder. Where any of the relevant undertaking(s) consider(s) certain aspects of information included in the co-investment offer to be of a confidential and/or commercially sensitive nature, </w:t>
      </w:r>
      <w:r>
        <w:rPr>
          <w:rFonts w:ascii="Arial" w:eastAsia="Arial" w:hAnsi="Arial" w:cs="Arial"/>
          <w:lang w:val="en-GB"/>
        </w:rPr>
        <w:t xml:space="preserve">and thus only to be shared with interested bidders upon request and subject to confidentiality provisions, </w:t>
      </w:r>
      <w:r w:rsidRPr="008D5996">
        <w:rPr>
          <w:rFonts w:ascii="Arial" w:eastAsia="Arial" w:hAnsi="Arial" w:cs="Arial"/>
          <w:lang w:val="en-GB"/>
        </w:rPr>
        <w:t xml:space="preserve">the relevant undertaking(s) should provide </w:t>
      </w:r>
      <w:r>
        <w:rPr>
          <w:rFonts w:ascii="Arial" w:eastAsia="Arial" w:hAnsi="Arial" w:cs="Arial"/>
          <w:lang w:val="en-GB"/>
        </w:rPr>
        <w:t xml:space="preserve">in any case </w:t>
      </w:r>
      <w:r w:rsidRPr="008D5996">
        <w:rPr>
          <w:rFonts w:ascii="Arial" w:eastAsia="Arial" w:hAnsi="Arial" w:cs="Arial"/>
          <w:lang w:val="en-GB"/>
        </w:rPr>
        <w:t xml:space="preserve">the NRA with complete details of such information along with objective reasons justifying why it considers the information to be confidential and/or commercially sensitive. The NRA should then consider </w:t>
      </w:r>
      <w:r>
        <w:rPr>
          <w:rFonts w:ascii="Arial" w:eastAsia="Arial" w:hAnsi="Arial" w:cs="Arial"/>
          <w:lang w:val="en-GB"/>
        </w:rPr>
        <w:t xml:space="preserve">the classification </w:t>
      </w:r>
      <w:r w:rsidR="0092125B">
        <w:rPr>
          <w:rFonts w:ascii="Arial" w:eastAsia="Arial" w:hAnsi="Arial" w:cs="Arial"/>
          <w:lang w:val="en-GB"/>
        </w:rPr>
        <w:t xml:space="preserve">of the </w:t>
      </w:r>
      <w:r w:rsidR="0092125B" w:rsidRPr="008D5996">
        <w:rPr>
          <w:rFonts w:ascii="Arial" w:eastAsia="Arial" w:hAnsi="Arial" w:cs="Arial"/>
          <w:lang w:val="en-GB"/>
        </w:rPr>
        <w:t xml:space="preserve">information </w:t>
      </w:r>
      <w:r>
        <w:rPr>
          <w:rFonts w:ascii="Arial" w:eastAsia="Arial" w:hAnsi="Arial" w:cs="Arial"/>
          <w:lang w:val="en-GB"/>
        </w:rPr>
        <w:t xml:space="preserve">as “confidential” </w:t>
      </w:r>
      <w:r w:rsidRPr="008D5996">
        <w:rPr>
          <w:rFonts w:ascii="Arial" w:eastAsia="Arial" w:hAnsi="Arial" w:cs="Arial"/>
          <w:lang w:val="en-GB"/>
        </w:rPr>
        <w:t>in accordance with its own criteria for dealing with confidential information</w:t>
      </w:r>
      <w:r>
        <w:rPr>
          <w:rFonts w:ascii="Arial" w:eastAsia="Arial" w:hAnsi="Arial" w:cs="Arial"/>
          <w:lang w:val="en-GB"/>
        </w:rPr>
        <w:t xml:space="preserve"> and decide accordingly</w:t>
      </w:r>
      <w:r w:rsidRPr="008D5996">
        <w:rPr>
          <w:rFonts w:ascii="Arial" w:eastAsia="Arial" w:hAnsi="Arial" w:cs="Arial"/>
          <w:lang w:val="en-GB"/>
        </w:rPr>
        <w:t xml:space="preserve">. </w:t>
      </w:r>
    </w:p>
    <w:p w14:paraId="0B624D50" w14:textId="6A7663B7" w:rsidR="00D25473" w:rsidRDefault="00D25473" w:rsidP="009A3A04">
      <w:pPr>
        <w:pStyle w:val="ListParagraph"/>
        <w:numPr>
          <w:ilvl w:val="0"/>
          <w:numId w:val="47"/>
        </w:numPr>
        <w:spacing w:after="60"/>
        <w:contextualSpacing w:val="0"/>
        <w:rPr>
          <w:rFonts w:ascii="Arial" w:eastAsia="Arial" w:hAnsi="Arial" w:cs="Arial"/>
          <w:lang w:val="en-GB"/>
        </w:rPr>
      </w:pPr>
      <w:r w:rsidRPr="008D5996">
        <w:rPr>
          <w:rFonts w:ascii="Arial" w:eastAsia="Arial" w:hAnsi="Arial" w:cs="Arial"/>
          <w:lang w:val="en-GB"/>
        </w:rPr>
        <w:t>If and when any of the commercially sensitive and/or confidential information identified ceases to be commercially sensitive and/or confidential, it must be made available by the relevant undertaking on its publicly available website without undue delay.</w:t>
      </w:r>
    </w:p>
    <w:p w14:paraId="2EAF9E2B" w14:textId="2F97D85D" w:rsidR="009A3A04" w:rsidRPr="00864828" w:rsidRDefault="00D25473" w:rsidP="00864828">
      <w:pPr>
        <w:pStyle w:val="ListParagraph"/>
        <w:numPr>
          <w:ilvl w:val="0"/>
          <w:numId w:val="47"/>
        </w:numPr>
        <w:spacing w:after="240"/>
        <w:rPr>
          <w:rFonts w:ascii="Arial" w:eastAsia="Arial" w:hAnsi="Arial" w:cs="Arial"/>
          <w:lang w:val="en-GB"/>
        </w:rPr>
      </w:pPr>
      <w:r w:rsidRPr="009A3A04">
        <w:rPr>
          <w:rFonts w:ascii="Arial" w:eastAsia="Arial" w:hAnsi="Arial" w:cs="Arial"/>
          <w:lang w:val="en-GB"/>
        </w:rPr>
        <w:t>Any actions regarding the exchange of information and level of transparency in the context of Art</w:t>
      </w:r>
      <w:r w:rsidR="00046EDD" w:rsidRPr="009A3A04">
        <w:rPr>
          <w:rFonts w:ascii="Arial" w:eastAsia="Arial" w:hAnsi="Arial" w:cs="Arial"/>
          <w:lang w:val="en-GB"/>
        </w:rPr>
        <w:t>icles</w:t>
      </w:r>
      <w:r w:rsidRPr="009A3A04">
        <w:rPr>
          <w:rFonts w:ascii="Arial" w:eastAsia="Arial" w:hAnsi="Arial" w:cs="Arial"/>
          <w:lang w:val="en-GB"/>
        </w:rPr>
        <w:t xml:space="preserve"> 76 and 79 of the </w:t>
      </w:r>
      <w:r w:rsidR="00E84062" w:rsidRPr="009A3A04">
        <w:rPr>
          <w:rFonts w:ascii="Arial" w:eastAsia="Arial" w:hAnsi="Arial" w:cs="Arial"/>
          <w:lang w:val="en-GB"/>
        </w:rPr>
        <w:t>EECC</w:t>
      </w:r>
      <w:r w:rsidRPr="009A3A04">
        <w:rPr>
          <w:rFonts w:ascii="Arial" w:eastAsia="Arial" w:hAnsi="Arial" w:cs="Arial"/>
          <w:lang w:val="en-GB"/>
        </w:rPr>
        <w:t xml:space="preserve"> are without prejudice to competition law.</w:t>
      </w:r>
    </w:p>
    <w:p w14:paraId="13D0B556" w14:textId="77777777" w:rsidR="00565BB9" w:rsidRPr="0088190B" w:rsidRDefault="00565BB9" w:rsidP="00E74CE9">
      <w:pPr>
        <w:keepNext/>
        <w:keepLines/>
        <w:numPr>
          <w:ilvl w:val="1"/>
          <w:numId w:val="22"/>
        </w:numPr>
        <w:spacing w:before="240" w:after="120"/>
        <w:outlineLvl w:val="1"/>
        <w:rPr>
          <w:rFonts w:ascii="Arial" w:hAnsi="Arial"/>
          <w:b/>
          <w:caps/>
          <w:color w:val="000000"/>
          <w:sz w:val="28"/>
          <w:lang w:val="fr-BE"/>
        </w:rPr>
      </w:pPr>
      <w:bookmarkStart w:id="183" w:name="_Toc36816378"/>
      <w:bookmarkStart w:id="184" w:name="_Toc36030384"/>
      <w:bookmarkStart w:id="185" w:name="_Toc38464096"/>
      <w:bookmarkStart w:id="186" w:name="_Toc24096933"/>
      <w:bookmarkStart w:id="187" w:name="_Toc31190837"/>
      <w:bookmarkStart w:id="188" w:name="_Toc24112045"/>
      <w:r w:rsidRPr="00DE45E8">
        <w:rPr>
          <w:rFonts w:ascii="Arial" w:hAnsi="Arial"/>
          <w:b/>
          <w:color w:val="000000"/>
          <w:sz w:val="28"/>
          <w:lang w:val="fr-BE"/>
        </w:rPr>
        <w:t>Guidelines on Article 76 Par 1 Point D)</w:t>
      </w:r>
      <w:bookmarkEnd w:id="183"/>
      <w:bookmarkEnd w:id="184"/>
      <w:bookmarkEnd w:id="185"/>
      <w:r w:rsidRPr="00DE45E8">
        <w:rPr>
          <w:rFonts w:ascii="Arial" w:hAnsi="Arial"/>
          <w:b/>
          <w:color w:val="000000"/>
          <w:sz w:val="28"/>
          <w:lang w:val="fr-BE"/>
        </w:rPr>
        <w:t xml:space="preserve"> </w:t>
      </w:r>
      <w:bookmarkEnd w:id="186"/>
      <w:bookmarkEnd w:id="187"/>
      <w:bookmarkEnd w:id="188"/>
    </w:p>
    <w:p w14:paraId="48C9570B" w14:textId="77777777" w:rsidR="00D25473" w:rsidRPr="00D25473" w:rsidRDefault="00D25473" w:rsidP="00D25473">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b/>
          <w:lang w:val="en-IE"/>
        </w:rPr>
      </w:pPr>
      <w:r w:rsidRPr="00D25473">
        <w:rPr>
          <w:rFonts w:ascii="Arial" w:eastAsia="Arial" w:hAnsi="Arial" w:cs="Times New Roman"/>
          <w:b/>
          <w:lang w:val="en-IE"/>
        </w:rPr>
        <w:t>Point d)</w:t>
      </w:r>
    </w:p>
    <w:p w14:paraId="6F1D20AD" w14:textId="77777777" w:rsidR="00D25473" w:rsidRPr="00D25473" w:rsidRDefault="00D25473" w:rsidP="00D25473">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IE"/>
        </w:rPr>
      </w:pPr>
      <w:r w:rsidRPr="00D25473">
        <w:rPr>
          <w:rFonts w:ascii="Arial" w:eastAsia="Arial" w:hAnsi="Arial" w:cs="Times New Roman"/>
          <w:lang w:val="en-IE"/>
        </w:rPr>
        <w:t>“</w:t>
      </w:r>
      <w:r w:rsidRPr="00D25473">
        <w:rPr>
          <w:rFonts w:ascii="Arial" w:eastAsia="Arial" w:hAnsi="Arial" w:cs="Times New Roman"/>
          <w:i/>
          <w:lang w:val="en-IE"/>
        </w:rPr>
        <w:t xml:space="preserve">access seekers not participating in the co-investment can benefit from the outset from the same quality, speed, conditions and end-user reach as were available before the deployment, accompanied by a mechanism of adaptation over time confirmed by the national regulatory </w:t>
      </w:r>
      <w:r w:rsidRPr="00D25473">
        <w:rPr>
          <w:rFonts w:ascii="Arial" w:eastAsia="Arial" w:hAnsi="Arial" w:cs="Times New Roman"/>
          <w:i/>
          <w:lang w:val="en-IE"/>
        </w:rPr>
        <w:lastRenderedPageBreak/>
        <w:t>authority in light of developments on the related retail markets, that maintains the incentives to participate in the co-investment; such mechanism shall ensure that access seekers have access to the very high capacity elements of the network at a time, and on the basis of transparent and non-discriminatory terms, which reflect appropriately the degrees of risk incurred by the respective co-investors at different stages of the deployment and take into account the competitive situation in retail markets;”</w:t>
      </w:r>
    </w:p>
    <w:p w14:paraId="4B7B8B54" w14:textId="63F57259"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The main goal of this provision is to maintain the “competitiveness of markets” (see Recital 200) by means of granting access to third parties, i.e. those that are not part of the co-investment. Therefore, efficient access seekers should be able to enter the market and/or remain a relevant competitive force. Any offer or adaptation mechanism which is likely to prevent this is not in line with Article 76 (1) (d).</w:t>
      </w:r>
    </w:p>
    <w:p w14:paraId="5D9CE05E" w14:textId="1F2AA6B6" w:rsidR="00D25473" w:rsidRPr="00D25473" w:rsidRDefault="00D25473" w:rsidP="00DE2901">
      <w:pPr>
        <w:numPr>
          <w:ilvl w:val="0"/>
          <w:numId w:val="47"/>
        </w:numPr>
        <w:rPr>
          <w:rFonts w:ascii="Arial" w:eastAsia="Arial" w:hAnsi="Arial" w:cs="Times New Roman"/>
          <w:lang w:val="en-GB"/>
        </w:rPr>
      </w:pPr>
      <w:r w:rsidRPr="00D25473">
        <w:rPr>
          <w:rFonts w:ascii="Arial" w:eastAsia="Arial" w:hAnsi="Arial" w:cs="Times New Roman"/>
          <w:lang w:val="en-GB"/>
        </w:rPr>
        <w:t>On the other hand, the adaptation mechanism has to maintain the incentives to participate in the co-investment, i.e. it has to give the co-investors advantages compared to access seekers (with respect to the access to the new very high capacity network or to elements of the network).</w:t>
      </w:r>
    </w:p>
    <w:p w14:paraId="66586198" w14:textId="77777777" w:rsidR="00D25473" w:rsidRPr="00CD7C49" w:rsidRDefault="00D25473" w:rsidP="0088190B">
      <w:pPr>
        <w:keepNext/>
        <w:keepLines/>
        <w:numPr>
          <w:ilvl w:val="2"/>
          <w:numId w:val="22"/>
        </w:numPr>
        <w:spacing w:before="40" w:after="120"/>
        <w:outlineLvl w:val="2"/>
        <w:rPr>
          <w:rFonts w:ascii="Arial" w:eastAsia="Arial" w:hAnsi="Arial" w:cs="Times New Roman"/>
          <w:b/>
          <w:bCs/>
          <w:color w:val="000000"/>
          <w:sz w:val="24"/>
          <w:lang w:val="en-GB"/>
        </w:rPr>
      </w:pPr>
      <w:bookmarkStart w:id="189" w:name="_Toc24096934"/>
      <w:bookmarkStart w:id="190" w:name="_Toc31190838"/>
      <w:bookmarkStart w:id="191" w:name="_Toc24112046"/>
      <w:bookmarkStart w:id="192" w:name="_Toc36816379"/>
      <w:bookmarkStart w:id="193" w:name="_Toc36030385"/>
      <w:bookmarkStart w:id="194" w:name="_Toc38464097"/>
      <w:r w:rsidRPr="00CD7C49">
        <w:rPr>
          <w:rFonts w:ascii="Arial" w:eastAsia="Arial" w:hAnsi="Arial" w:cs="Times New Roman"/>
          <w:b/>
          <w:bCs/>
          <w:color w:val="000000"/>
          <w:sz w:val="24"/>
          <w:lang w:val="en-GB"/>
        </w:rPr>
        <w:t>Access as before the deployment</w:t>
      </w:r>
      <w:bookmarkEnd w:id="189"/>
      <w:bookmarkEnd w:id="190"/>
      <w:bookmarkEnd w:id="191"/>
      <w:bookmarkEnd w:id="192"/>
      <w:bookmarkEnd w:id="193"/>
      <w:bookmarkEnd w:id="194"/>
    </w:p>
    <w:p w14:paraId="67A4F030" w14:textId="2F68DBAD" w:rsidR="0092125B" w:rsidRDefault="00D25473" w:rsidP="009A3A04">
      <w:pPr>
        <w:pStyle w:val="ListParagraph"/>
        <w:numPr>
          <w:ilvl w:val="0"/>
          <w:numId w:val="47"/>
        </w:numPr>
        <w:spacing w:after="60"/>
        <w:contextualSpacing w:val="0"/>
        <w:rPr>
          <w:rFonts w:ascii="Arial" w:eastAsia="Arial" w:hAnsi="Arial" w:cs="Times New Roman"/>
          <w:lang w:val="en-GB"/>
        </w:rPr>
      </w:pPr>
      <w:r w:rsidRPr="0092125B">
        <w:rPr>
          <w:rFonts w:ascii="Arial" w:eastAsia="Arial" w:hAnsi="Arial" w:cs="Times New Roman"/>
          <w:lang w:val="en-GB"/>
        </w:rPr>
        <w:t xml:space="preserve">According to Article 76 (1) (d) existing and potential new access seekers have to benefit from the outset (i.e. the activation of the VHCN) from the same quality, speed, conditions, and end-user reach </w:t>
      </w:r>
      <w:r w:rsidR="0092125B" w:rsidRPr="0092125B">
        <w:rPr>
          <w:rFonts w:ascii="Arial" w:eastAsia="Arial" w:hAnsi="Arial" w:cs="Times New Roman"/>
          <w:lang w:val="en-GB"/>
        </w:rPr>
        <w:t>that were</w:t>
      </w:r>
      <w:r w:rsidRPr="0092125B">
        <w:rPr>
          <w:rFonts w:ascii="Arial" w:eastAsia="Arial" w:hAnsi="Arial" w:cs="Times New Roman"/>
          <w:lang w:val="en-GB"/>
        </w:rPr>
        <w:t xml:space="preserve"> available before the deployment. Access of this form can be provided either using the new VHCN elements or via the ‘old’</w:t>
      </w:r>
      <w:r w:rsidR="0092125B" w:rsidRPr="0092125B">
        <w:rPr>
          <w:rFonts w:ascii="Arial" w:eastAsia="Arial" w:hAnsi="Arial" w:cs="Times New Roman"/>
          <w:lang w:val="en-GB"/>
        </w:rPr>
        <w:t xml:space="preserve"> ones (</w:t>
      </w:r>
      <w:r w:rsidRPr="0092125B">
        <w:rPr>
          <w:rFonts w:ascii="Arial" w:eastAsia="Arial" w:hAnsi="Arial" w:cs="Times New Roman"/>
          <w:lang w:val="en-GB"/>
        </w:rPr>
        <w:t>i.e. legacy infrastructure, if it is still in place</w:t>
      </w:r>
      <w:r w:rsidR="0092125B" w:rsidRPr="0092125B">
        <w:rPr>
          <w:rFonts w:ascii="Arial" w:eastAsia="Arial" w:hAnsi="Arial" w:cs="Times New Roman"/>
          <w:lang w:val="en-GB"/>
        </w:rPr>
        <w:t>)</w:t>
      </w:r>
      <w:r w:rsidRPr="0092125B">
        <w:rPr>
          <w:rFonts w:ascii="Arial" w:eastAsia="Arial" w:hAnsi="Arial" w:cs="Times New Roman"/>
          <w:lang w:val="en-GB"/>
        </w:rPr>
        <w:t xml:space="preserve">. </w:t>
      </w:r>
    </w:p>
    <w:p w14:paraId="24F91332" w14:textId="79DD83D3" w:rsidR="002510B0" w:rsidRPr="00B74DE7" w:rsidRDefault="00D25473" w:rsidP="00B74DE7">
      <w:pPr>
        <w:numPr>
          <w:ilvl w:val="0"/>
          <w:numId w:val="47"/>
        </w:numPr>
        <w:rPr>
          <w:rFonts w:ascii="Arial" w:eastAsia="Arial" w:hAnsi="Arial" w:cs="Times New Roman"/>
          <w:lang w:val="en-GB"/>
        </w:rPr>
      </w:pPr>
      <w:r w:rsidRPr="0092125B">
        <w:rPr>
          <w:rFonts w:ascii="Arial" w:eastAsia="Arial" w:hAnsi="Arial" w:cs="Times New Roman"/>
          <w:lang w:val="en-GB"/>
        </w:rPr>
        <w:t>The achievable download and upload speeds have to be the same as before the deployment. Other relevant quality parameters that may be considered are, for example, delay, jitter, packet loss, and availability. However, speed is likely to be the most important parameter. The term “conditions” includes prices, processes for ordering and repair, provision of information, etc. End-users addressable before the deployment should also be addressable thereafter. If business grade quality characteristics were available before the deployment, they should also be available after the deployment.</w:t>
      </w:r>
    </w:p>
    <w:p w14:paraId="02621AF7" w14:textId="77777777" w:rsidR="00D25473" w:rsidRPr="00CD7C49" w:rsidRDefault="00D25473" w:rsidP="0088190B">
      <w:pPr>
        <w:keepNext/>
        <w:keepLines/>
        <w:numPr>
          <w:ilvl w:val="2"/>
          <w:numId w:val="22"/>
        </w:numPr>
        <w:spacing w:before="40" w:after="120"/>
        <w:outlineLvl w:val="2"/>
        <w:rPr>
          <w:rFonts w:ascii="Arial" w:eastAsia="Arial" w:hAnsi="Arial" w:cs="Times New Roman"/>
          <w:b/>
          <w:bCs/>
          <w:color w:val="000000"/>
          <w:sz w:val="24"/>
          <w:lang w:val="en-GB"/>
        </w:rPr>
      </w:pPr>
      <w:bookmarkStart w:id="195" w:name="_Toc24096935"/>
      <w:bookmarkStart w:id="196" w:name="_Toc24112047"/>
      <w:bookmarkStart w:id="197" w:name="_Toc31190839"/>
      <w:bookmarkStart w:id="198" w:name="_Toc36816380"/>
      <w:bookmarkStart w:id="199" w:name="_Toc36030386"/>
      <w:bookmarkStart w:id="200" w:name="_Toc38464098"/>
      <w:r w:rsidRPr="00CD7C49">
        <w:rPr>
          <w:rFonts w:ascii="Arial" w:eastAsia="Arial" w:hAnsi="Arial" w:cs="Times New Roman"/>
          <w:b/>
          <w:bCs/>
          <w:color w:val="000000"/>
          <w:sz w:val="24"/>
          <w:lang w:val="en-GB"/>
        </w:rPr>
        <w:t>Access to very high capacity network elements</w:t>
      </w:r>
      <w:bookmarkEnd w:id="195"/>
      <w:bookmarkEnd w:id="196"/>
      <w:bookmarkEnd w:id="197"/>
      <w:bookmarkEnd w:id="198"/>
      <w:bookmarkEnd w:id="199"/>
      <w:bookmarkEnd w:id="200"/>
    </w:p>
    <w:p w14:paraId="08B1393F" w14:textId="44DC5705"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 xml:space="preserve">Access to the very high capacity network elements could be either in the form of active access (e.g. virtual unbundling) or passive access (e.g. fibre unbundling). In the form of active access, it would mainly refer to access to higher bandwidths (higher than before the </w:t>
      </w:r>
      <w:r w:rsidR="0092125B">
        <w:rPr>
          <w:rFonts w:ascii="Arial" w:eastAsia="Arial" w:hAnsi="Arial" w:cs="Times New Roman"/>
          <w:lang w:val="en-GB"/>
        </w:rPr>
        <w:t xml:space="preserve">new </w:t>
      </w:r>
      <w:r w:rsidRPr="00D25473">
        <w:rPr>
          <w:rFonts w:ascii="Arial" w:eastAsia="Arial" w:hAnsi="Arial" w:cs="Times New Roman"/>
          <w:lang w:val="en-GB"/>
        </w:rPr>
        <w:t xml:space="preserve">very high capacity network deployment). In case of passive access, the access seeker in principle can offer to its customers any bandwidth that would be technically possible. </w:t>
      </w:r>
    </w:p>
    <w:p w14:paraId="11EDCC41" w14:textId="24634CF0"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The form (active, passive or both) and conditions of access to third parties should be part of the co-investment offer, which is subject to the scrutiny of the NRA and to a market test. This part of the offer should also describe the adaptation mechanism, either by laying down the timing and nature of the adaptations or by describing the triggers which will lead to adaptations and the form of these adaptations. If relevant, quality characteristics should also reflect quality needs for access seekers providing services to business users.</w:t>
      </w:r>
    </w:p>
    <w:p w14:paraId="6AC1A415" w14:textId="19A3919B"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lastRenderedPageBreak/>
        <w:t>According to Article 76 (1) (d), access to the very high capacity network elements has to be provided to access</w:t>
      </w:r>
      <w:r w:rsidR="00F11C2D">
        <w:rPr>
          <w:rFonts w:ascii="Arial" w:eastAsia="Arial" w:hAnsi="Arial" w:cs="Times New Roman"/>
          <w:lang w:val="en-GB"/>
        </w:rPr>
        <w:t xml:space="preserve"> </w:t>
      </w:r>
      <w:r w:rsidRPr="00D25473">
        <w:rPr>
          <w:rFonts w:ascii="Arial" w:eastAsia="Arial" w:hAnsi="Arial" w:cs="Times New Roman"/>
          <w:lang w:val="en-GB"/>
        </w:rPr>
        <w:t xml:space="preserve">seekers at a time which appropriately reflects the degree of risk incurred by the co-investors at different stages of the deployment, taking into account the competitive situation at the retail level. Therefore, different types of adaptation mechanisms are possible depending on the risk incurred and the retail market developments, in particular the competitive situation in retail markets. </w:t>
      </w:r>
    </w:p>
    <w:p w14:paraId="21C0995A" w14:textId="386E738F"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 xml:space="preserve">Timing, pricing, and quality (mainly speed) are the main factors of the adaptation mechanism. </w:t>
      </w:r>
    </w:p>
    <w:p w14:paraId="74C7DA13" w14:textId="6828F06A"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 xml:space="preserve">Timing: The offer may determine a time at which access seekers (which are non-co-investors) get access to the very high capacity network elements (e.g. in form of higher bandwidths). In order to maintain incentives to participate in the co-investment, co-investors may be allowed to benefit from a </w:t>
      </w:r>
      <w:r w:rsidR="006E3D70" w:rsidRPr="00D25473">
        <w:rPr>
          <w:rFonts w:ascii="Arial" w:eastAsia="Arial" w:hAnsi="Arial" w:cs="Times New Roman"/>
          <w:lang w:val="en-GB"/>
        </w:rPr>
        <w:t>first</w:t>
      </w:r>
      <w:r w:rsidR="006E3D70">
        <w:rPr>
          <w:rFonts w:ascii="Arial" w:eastAsia="Arial" w:hAnsi="Arial" w:cs="Times New Roman"/>
          <w:lang w:val="en-GB"/>
        </w:rPr>
        <w:t>-</w:t>
      </w:r>
      <w:r w:rsidRPr="00D25473">
        <w:rPr>
          <w:rFonts w:ascii="Arial" w:eastAsia="Arial" w:hAnsi="Arial" w:cs="Times New Roman"/>
          <w:lang w:val="en-GB"/>
        </w:rPr>
        <w:t xml:space="preserve">mover advantage with regard to the selling of higher bandwidths, which usually have the highest margins. The appropriate length of this period depends on the degree of risk incurred by the co-investors. A longer period may be justified, if the risk is high, e.g. where the rollout cost per customer is particularly high and there is significant uncertainty about future demand and willingness to pay for high bandwidths. However, a very long period (e.g. beyond five years), especially in the absence of retail competition from other infrastructures, may not meet the criteria of Article 76 (1) (d) since it is unlikely that access seekers remain competitive during such a long period without access to the very high capacity network elements/higher bandwidths. </w:t>
      </w:r>
    </w:p>
    <w:p w14:paraId="3205F693" w14:textId="6BCA4F06"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Pricing: The prices for access to very high capacity network elements may vary over time. For example, prices may be higher in the beginning reflecting higher retail prices of the co-investors and/or demand uncertainty and could then be reduced over time. Furthermore, effective wholesale price levels for access seekers could be higher than for co-investors to reflect the risk that co-investors incur</w:t>
      </w:r>
      <w:r w:rsidR="006E3D70">
        <w:rPr>
          <w:rFonts w:ascii="Arial" w:eastAsia="Arial" w:hAnsi="Arial" w:cs="Times New Roman"/>
          <w:lang w:val="en-GB"/>
        </w:rPr>
        <w:t>,</w:t>
      </w:r>
      <w:r w:rsidRPr="00D25473">
        <w:rPr>
          <w:rFonts w:ascii="Arial" w:eastAsia="Arial" w:hAnsi="Arial" w:cs="Times New Roman"/>
          <w:lang w:val="en-GB"/>
        </w:rPr>
        <w:t xml:space="preserve"> and </w:t>
      </w:r>
      <w:r w:rsidR="006E3D70">
        <w:rPr>
          <w:rFonts w:ascii="Arial" w:eastAsia="Arial" w:hAnsi="Arial" w:cs="Times New Roman"/>
          <w:lang w:val="en-GB"/>
        </w:rPr>
        <w:t xml:space="preserve">to </w:t>
      </w:r>
      <w:r w:rsidRPr="00D25473">
        <w:rPr>
          <w:rFonts w:ascii="Arial" w:eastAsia="Arial" w:hAnsi="Arial" w:cs="Times New Roman"/>
          <w:lang w:val="en-GB"/>
        </w:rPr>
        <w:t xml:space="preserve">maintain the incentives to participate in the co-investment. The price differential would effectively be limited by the condition that efficient access seekers should be able to enter the market and/or remain a relevant competitive force. </w:t>
      </w:r>
    </w:p>
    <w:p w14:paraId="29D13FFE" w14:textId="0292D0BD"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 xml:space="preserve">Quality: The quality of access for non-co-investors (in particular the speed) might be restricted compared to the quality available to co-investors. This would be similar to a </w:t>
      </w:r>
      <w:r w:rsidR="006E3D70" w:rsidRPr="00D25473">
        <w:rPr>
          <w:rFonts w:ascii="Arial" w:eastAsia="Arial" w:hAnsi="Arial" w:cs="Times New Roman"/>
          <w:lang w:val="en-GB"/>
        </w:rPr>
        <w:t>first</w:t>
      </w:r>
      <w:r w:rsidR="006E3D70">
        <w:rPr>
          <w:rFonts w:ascii="Arial" w:eastAsia="Arial" w:hAnsi="Arial" w:cs="Times New Roman"/>
          <w:lang w:val="en-GB"/>
        </w:rPr>
        <w:t>-</w:t>
      </w:r>
      <w:r w:rsidRPr="00D25473">
        <w:rPr>
          <w:rFonts w:ascii="Arial" w:eastAsia="Arial" w:hAnsi="Arial" w:cs="Times New Roman"/>
          <w:lang w:val="en-GB"/>
        </w:rPr>
        <w:t xml:space="preserve">mover advantage as discussed under ‘Timing’. Nevertheless, co-investors must provide access seekers from the outset the same quality as available before the deployment of the </w:t>
      </w:r>
      <w:r w:rsidR="006E3D70">
        <w:rPr>
          <w:rFonts w:ascii="Arial" w:eastAsia="Arial" w:hAnsi="Arial" w:cs="Times New Roman"/>
          <w:lang w:val="en-GB"/>
        </w:rPr>
        <w:t xml:space="preserve">new </w:t>
      </w:r>
      <w:r w:rsidRPr="00D25473">
        <w:rPr>
          <w:rFonts w:ascii="Arial" w:eastAsia="Arial" w:hAnsi="Arial" w:cs="Times New Roman"/>
          <w:lang w:val="en-GB"/>
        </w:rPr>
        <w:t>VHCN.</w:t>
      </w:r>
    </w:p>
    <w:p w14:paraId="5B90BDE7" w14:textId="04B1DA17"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The offer can contain one or several of these factors when determining the terms of wholesale access to non-co-investors. NRAs need to assess the offer against the background of national market characteristics to decide whether it allows efficient access seekers to enter the market and/or remain a relevant competitive force and therefore meet the requirements of Article 76 (1) (d).</w:t>
      </w:r>
    </w:p>
    <w:p w14:paraId="5AD21D75" w14:textId="62C1D7B4"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Adaptations may occur only once</w:t>
      </w:r>
      <w:r w:rsidR="006E3D70">
        <w:rPr>
          <w:rFonts w:ascii="Arial" w:eastAsia="Arial" w:hAnsi="Arial" w:cs="Times New Roman"/>
          <w:lang w:val="en-GB"/>
        </w:rPr>
        <w:t xml:space="preserve"> (</w:t>
      </w:r>
      <w:r w:rsidRPr="00D25473">
        <w:rPr>
          <w:rFonts w:ascii="Arial" w:eastAsia="Arial" w:hAnsi="Arial" w:cs="Times New Roman"/>
          <w:lang w:val="en-GB"/>
        </w:rPr>
        <w:t>e.g. when access to fibre unbundling is granted</w:t>
      </w:r>
      <w:r w:rsidR="006E3D70">
        <w:rPr>
          <w:rFonts w:ascii="Arial" w:eastAsia="Arial" w:hAnsi="Arial" w:cs="Times New Roman"/>
          <w:lang w:val="en-GB"/>
        </w:rPr>
        <w:t>)</w:t>
      </w:r>
      <w:r w:rsidRPr="00D25473">
        <w:rPr>
          <w:rFonts w:ascii="Arial" w:eastAsia="Arial" w:hAnsi="Arial" w:cs="Times New Roman"/>
          <w:lang w:val="en-GB"/>
        </w:rPr>
        <w:t xml:space="preserve">, or several times </w:t>
      </w:r>
      <w:r w:rsidR="006E3D70">
        <w:rPr>
          <w:rFonts w:ascii="Arial" w:eastAsia="Arial" w:hAnsi="Arial" w:cs="Times New Roman"/>
          <w:lang w:val="en-GB"/>
        </w:rPr>
        <w:t>(</w:t>
      </w:r>
      <w:r w:rsidRPr="00D25473">
        <w:rPr>
          <w:rFonts w:ascii="Arial" w:eastAsia="Arial" w:hAnsi="Arial" w:cs="Times New Roman"/>
          <w:lang w:val="en-GB"/>
        </w:rPr>
        <w:t>e.g. when the network is upgraded repeatedly</w:t>
      </w:r>
      <w:r w:rsidR="006E3D70">
        <w:rPr>
          <w:rFonts w:ascii="Arial" w:eastAsia="Arial" w:hAnsi="Arial" w:cs="Times New Roman"/>
          <w:lang w:val="en-GB"/>
        </w:rPr>
        <w:t>.</w:t>
      </w:r>
      <w:r w:rsidRPr="00D25473">
        <w:rPr>
          <w:rFonts w:ascii="Arial" w:eastAsia="Arial" w:hAnsi="Arial" w:cs="Times New Roman"/>
          <w:lang w:val="en-GB"/>
        </w:rPr>
        <w:t xml:space="preserve"> </w:t>
      </w:r>
      <w:r w:rsidR="006E3D70">
        <w:rPr>
          <w:rFonts w:ascii="Arial" w:eastAsia="Arial" w:hAnsi="Arial" w:cs="Times New Roman"/>
          <w:lang w:val="en-GB"/>
        </w:rPr>
        <w:t>O</w:t>
      </w:r>
      <w:r w:rsidRPr="00D25473">
        <w:rPr>
          <w:rFonts w:ascii="Arial" w:eastAsia="Arial" w:hAnsi="Arial" w:cs="Times New Roman"/>
          <w:lang w:val="en-GB"/>
        </w:rPr>
        <w:t>r – in case of active wholesale products – co-investors increase their retail bandwidths repeatedly, or there are changes in the competitive situation in retail markets</w:t>
      </w:r>
      <w:r w:rsidR="006E3D70">
        <w:rPr>
          <w:rFonts w:ascii="Arial" w:eastAsia="Arial" w:hAnsi="Arial" w:cs="Times New Roman"/>
          <w:lang w:val="en-GB"/>
        </w:rPr>
        <w:t>)</w:t>
      </w:r>
      <w:r w:rsidRPr="00D25473">
        <w:rPr>
          <w:rFonts w:ascii="Arial" w:eastAsia="Arial" w:hAnsi="Arial" w:cs="Times New Roman"/>
          <w:lang w:val="en-GB"/>
        </w:rPr>
        <w:t xml:space="preserve">. The timing of adaptations or the triggers leading to adaptations should be communicated from the outset in a way which provides sufficient predictability for access seekers and co-investors. In case of changes, the access seekers and </w:t>
      </w:r>
      <w:r w:rsidRPr="00D25473">
        <w:rPr>
          <w:rFonts w:ascii="Arial" w:eastAsia="Arial" w:hAnsi="Arial" w:cs="Times New Roman"/>
          <w:lang w:val="en-GB"/>
        </w:rPr>
        <w:lastRenderedPageBreak/>
        <w:t>the NRA should be informed with due notice (</w:t>
      </w:r>
      <w:r w:rsidR="006E3D70">
        <w:rPr>
          <w:rFonts w:ascii="Arial" w:eastAsia="Arial" w:hAnsi="Arial" w:cs="Times New Roman"/>
          <w:lang w:val="en-GB"/>
        </w:rPr>
        <w:t>at least</w:t>
      </w:r>
      <w:r w:rsidRPr="00D25473">
        <w:rPr>
          <w:rFonts w:ascii="Arial" w:eastAsia="Arial" w:hAnsi="Arial" w:cs="Times New Roman"/>
          <w:lang w:val="en-GB"/>
        </w:rPr>
        <w:t xml:space="preserve"> six months in advance). The NRA has to confirm the adaptation mechanism (and potential changes to it) in its assessment</w:t>
      </w:r>
      <w:r w:rsidR="006E3D70">
        <w:rPr>
          <w:rFonts w:ascii="Arial" w:eastAsia="Arial" w:hAnsi="Arial" w:cs="Times New Roman"/>
          <w:lang w:val="en-GB"/>
        </w:rPr>
        <w:t>,</w:t>
      </w:r>
      <w:r w:rsidRPr="00D25473">
        <w:rPr>
          <w:rFonts w:ascii="Arial" w:eastAsia="Arial" w:hAnsi="Arial" w:cs="Times New Roman"/>
          <w:lang w:val="en-GB"/>
        </w:rPr>
        <w:t xml:space="preserve"> and monitor or enforce its application over the period of the commitments.</w:t>
      </w:r>
    </w:p>
    <w:p w14:paraId="49C109D7" w14:textId="08D36226" w:rsidR="00D25473" w:rsidRP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The requirements of Article 76 (1) (d) have to be viewed as minimum requirements in order to maintain the competitiveness of markets. Therefore, co-investors may also decide to grant access to the very high capacity elements of their network from the outset.</w:t>
      </w:r>
    </w:p>
    <w:p w14:paraId="0DA34C02" w14:textId="504D70BD" w:rsidR="00D25473" w:rsidRDefault="00D25473" w:rsidP="009A3A04">
      <w:pPr>
        <w:pStyle w:val="ListParagraph"/>
        <w:numPr>
          <w:ilvl w:val="0"/>
          <w:numId w:val="47"/>
        </w:numPr>
        <w:spacing w:after="60"/>
        <w:contextualSpacing w:val="0"/>
        <w:rPr>
          <w:rFonts w:ascii="Arial" w:eastAsia="Arial" w:hAnsi="Arial" w:cs="Times New Roman"/>
          <w:lang w:val="en-GB"/>
        </w:rPr>
      </w:pPr>
      <w:r w:rsidRPr="00D25473">
        <w:rPr>
          <w:rFonts w:ascii="Arial" w:eastAsia="Arial" w:hAnsi="Arial" w:cs="Times New Roman"/>
          <w:lang w:val="en-GB"/>
        </w:rPr>
        <w:t xml:space="preserve">Once supplied, access to the very high capacity network elements has to be offered on the basis of transparent and non-discriminatory terms. Therefore, the terms of access should be published by the co-investors. Non-discrimination applies </w:t>
      </w:r>
      <w:r w:rsidR="00B96679">
        <w:rPr>
          <w:rFonts w:ascii="Arial" w:eastAsia="Arial" w:hAnsi="Arial" w:cs="Times New Roman"/>
          <w:lang w:val="en-GB"/>
        </w:rPr>
        <w:t>among</w:t>
      </w:r>
      <w:r w:rsidR="00B96679" w:rsidRPr="00D25473">
        <w:rPr>
          <w:rFonts w:ascii="Arial" w:eastAsia="Arial" w:hAnsi="Arial" w:cs="Times New Roman"/>
          <w:lang w:val="en-GB"/>
        </w:rPr>
        <w:t xml:space="preserve"> </w:t>
      </w:r>
      <w:r w:rsidRPr="00D25473">
        <w:rPr>
          <w:rFonts w:ascii="Arial" w:eastAsia="Arial" w:hAnsi="Arial" w:cs="Times New Roman"/>
          <w:lang w:val="en-GB"/>
        </w:rPr>
        <w:t>access seekers</w:t>
      </w:r>
      <w:r w:rsidR="00B96679">
        <w:rPr>
          <w:rFonts w:ascii="Arial" w:eastAsia="Arial" w:hAnsi="Arial" w:cs="Times New Roman"/>
          <w:lang w:val="en-GB"/>
        </w:rPr>
        <w:t>,</w:t>
      </w:r>
      <w:r w:rsidRPr="00D25473">
        <w:rPr>
          <w:rFonts w:ascii="Arial" w:eastAsia="Arial" w:hAnsi="Arial" w:cs="Times New Roman"/>
          <w:lang w:val="en-GB"/>
        </w:rPr>
        <w:t xml:space="preserve"> but not necessarily between co-investors and access seekers.</w:t>
      </w:r>
    </w:p>
    <w:p w14:paraId="4CA7A678" w14:textId="78051B2D" w:rsidR="0035079C" w:rsidRPr="0088190B" w:rsidRDefault="00D25473" w:rsidP="00DE2901">
      <w:pPr>
        <w:numPr>
          <w:ilvl w:val="0"/>
          <w:numId w:val="47"/>
        </w:numPr>
        <w:rPr>
          <w:rFonts w:ascii="Arial" w:eastAsia="Arial" w:hAnsi="Arial" w:cs="Times New Roman"/>
          <w:lang w:val="en-GB"/>
        </w:rPr>
      </w:pPr>
      <w:r w:rsidRPr="00D25473">
        <w:rPr>
          <w:rFonts w:ascii="Arial" w:eastAsia="Arial" w:hAnsi="Arial" w:cs="Times New Roman"/>
          <w:lang w:val="en-GB"/>
        </w:rPr>
        <w:t>The NRA should review the access conditions and the adaptation mechanism periodically, at least every five years (or a comparable timeframe as set for market analyses).</w:t>
      </w:r>
    </w:p>
    <w:p w14:paraId="56AA16D8" w14:textId="77777777" w:rsidR="00565BB9" w:rsidRPr="0088190B" w:rsidRDefault="00565BB9" w:rsidP="0088190B">
      <w:pPr>
        <w:keepNext/>
        <w:keepLines/>
        <w:numPr>
          <w:ilvl w:val="1"/>
          <w:numId w:val="22"/>
        </w:numPr>
        <w:spacing w:before="240" w:after="120"/>
        <w:outlineLvl w:val="1"/>
        <w:rPr>
          <w:rFonts w:ascii="Arial" w:hAnsi="Arial"/>
          <w:b/>
          <w:caps/>
          <w:color w:val="000000"/>
          <w:sz w:val="28"/>
          <w:lang w:val="fr-BE"/>
        </w:rPr>
      </w:pPr>
      <w:bookmarkStart w:id="201" w:name="_Toc24096936"/>
      <w:bookmarkStart w:id="202" w:name="_Toc31190840"/>
      <w:bookmarkStart w:id="203" w:name="_Toc24112048"/>
      <w:bookmarkStart w:id="204" w:name="_Toc36816381"/>
      <w:bookmarkStart w:id="205" w:name="_Toc36030387"/>
      <w:bookmarkStart w:id="206" w:name="_Toc38464099"/>
      <w:r w:rsidRPr="00E74CE9">
        <w:rPr>
          <w:rFonts w:ascii="Arial" w:hAnsi="Arial"/>
          <w:b/>
          <w:color w:val="000000"/>
          <w:sz w:val="28"/>
          <w:lang w:val="fr-BE"/>
        </w:rPr>
        <w:t>Guidelines on Article 76 Par 1 Point E)</w:t>
      </w:r>
      <w:bookmarkEnd w:id="201"/>
      <w:bookmarkEnd w:id="202"/>
      <w:bookmarkEnd w:id="203"/>
      <w:bookmarkEnd w:id="204"/>
      <w:bookmarkEnd w:id="205"/>
      <w:bookmarkEnd w:id="206"/>
      <w:r w:rsidR="009E4633">
        <w:rPr>
          <w:rFonts w:ascii="Arial" w:hAnsi="Arial"/>
          <w:b/>
          <w:color w:val="000000"/>
          <w:sz w:val="28"/>
          <w:lang w:val="fr-BE"/>
        </w:rPr>
        <w:t xml:space="preserve"> </w:t>
      </w:r>
    </w:p>
    <w:p w14:paraId="563B40B9" w14:textId="77777777" w:rsidR="00565BB9" w:rsidRPr="00565BB9" w:rsidRDefault="00565BB9" w:rsidP="00565BB9">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b/>
          <w:lang w:val="en-GB"/>
        </w:rPr>
      </w:pPr>
      <w:r w:rsidRPr="00565BB9">
        <w:rPr>
          <w:rFonts w:ascii="Arial" w:eastAsia="Arial" w:hAnsi="Arial" w:cs="Times New Roman"/>
          <w:b/>
          <w:lang w:val="en-GB"/>
        </w:rPr>
        <w:t>Point (e)</w:t>
      </w:r>
    </w:p>
    <w:p w14:paraId="3A2ED465" w14:textId="77777777" w:rsidR="00565BB9" w:rsidRPr="00565BB9" w:rsidRDefault="00565BB9" w:rsidP="00565BB9">
      <w:pPr>
        <w:pBdr>
          <w:top w:val="single" w:sz="4" w:space="1" w:color="auto"/>
          <w:left w:val="single" w:sz="4" w:space="4" w:color="auto"/>
          <w:bottom w:val="single" w:sz="4" w:space="1" w:color="auto"/>
          <w:right w:val="single" w:sz="4" w:space="4" w:color="auto"/>
        </w:pBdr>
        <w:shd w:val="clear" w:color="auto" w:fill="F2F2F2"/>
        <w:rPr>
          <w:rFonts w:ascii="Arial" w:eastAsia="Arial" w:hAnsi="Arial" w:cs="Times New Roman"/>
          <w:lang w:val="en-GB"/>
        </w:rPr>
      </w:pPr>
      <w:r w:rsidRPr="00565BB9">
        <w:rPr>
          <w:rFonts w:ascii="Arial" w:eastAsia="Arial" w:hAnsi="Arial" w:cs="Times New Roman"/>
          <w:lang w:val="en-GB"/>
        </w:rPr>
        <w:t>“</w:t>
      </w:r>
      <w:r w:rsidRPr="00565BB9">
        <w:rPr>
          <w:rFonts w:ascii="Arial" w:eastAsia="Arial" w:hAnsi="Arial" w:cs="Times New Roman"/>
          <w:i/>
          <w:lang w:val="en-GB"/>
        </w:rPr>
        <w:t>it complies at a minimum with the criteria set out in Annex IV and is made in good faith</w:t>
      </w:r>
      <w:r w:rsidRPr="00565BB9">
        <w:rPr>
          <w:rFonts w:ascii="Arial" w:eastAsia="Arial" w:hAnsi="Arial" w:cs="Times New Roman"/>
          <w:lang w:val="en-GB"/>
        </w:rPr>
        <w:t>.”</w:t>
      </w:r>
    </w:p>
    <w:p w14:paraId="319702B4" w14:textId="13B77DD9" w:rsidR="00565BB9" w:rsidRDefault="00B96679" w:rsidP="009A3A04">
      <w:pPr>
        <w:pStyle w:val="ListParagraph"/>
        <w:numPr>
          <w:ilvl w:val="0"/>
          <w:numId w:val="47"/>
        </w:numPr>
        <w:spacing w:after="60"/>
        <w:contextualSpacing w:val="0"/>
        <w:rPr>
          <w:rFonts w:ascii="Arial" w:eastAsia="Arial" w:hAnsi="Arial" w:cs="Times New Roman"/>
          <w:lang w:val="en-IE"/>
        </w:rPr>
      </w:pPr>
      <w:r>
        <w:rPr>
          <w:rFonts w:ascii="Arial" w:eastAsia="Arial" w:hAnsi="Arial" w:cs="Times New Roman"/>
          <w:lang w:val="en-IE"/>
        </w:rPr>
        <w:t xml:space="preserve">The </w:t>
      </w:r>
      <w:r w:rsidR="00855E6B">
        <w:rPr>
          <w:rFonts w:ascii="Arial" w:eastAsia="Arial" w:hAnsi="Arial" w:cs="Times New Roman"/>
          <w:lang w:val="en-IE"/>
        </w:rPr>
        <w:t xml:space="preserve">criteria set out in Annex IV are an integral part of the conditions (a) </w:t>
      </w:r>
      <w:r w:rsidR="00E47C70">
        <w:rPr>
          <w:rFonts w:ascii="Arial" w:eastAsia="Arial" w:hAnsi="Arial" w:cs="Times New Roman"/>
          <w:lang w:val="en-IE"/>
        </w:rPr>
        <w:t xml:space="preserve">to </w:t>
      </w:r>
      <w:r w:rsidR="00855E6B">
        <w:rPr>
          <w:rFonts w:ascii="Arial" w:eastAsia="Arial" w:hAnsi="Arial" w:cs="Times New Roman"/>
          <w:lang w:val="en-IE"/>
        </w:rPr>
        <w:t xml:space="preserve">(d) of Article 76 and have </w:t>
      </w:r>
      <w:r w:rsidR="00E47C70">
        <w:rPr>
          <w:rFonts w:ascii="Arial" w:eastAsia="Arial" w:hAnsi="Arial" w:cs="Times New Roman"/>
          <w:lang w:val="en-IE"/>
        </w:rPr>
        <w:t xml:space="preserve">therefore also </w:t>
      </w:r>
      <w:r w:rsidR="00855E6B">
        <w:rPr>
          <w:rFonts w:ascii="Arial" w:eastAsia="Arial" w:hAnsi="Arial" w:cs="Times New Roman"/>
          <w:lang w:val="en-IE"/>
        </w:rPr>
        <w:t>been assess</w:t>
      </w:r>
      <w:r w:rsidR="00E47C70">
        <w:rPr>
          <w:rFonts w:ascii="Arial" w:eastAsia="Arial" w:hAnsi="Arial" w:cs="Times New Roman"/>
          <w:lang w:val="en-IE"/>
        </w:rPr>
        <w:t xml:space="preserve">ed </w:t>
      </w:r>
      <w:r w:rsidR="00855E6B">
        <w:rPr>
          <w:rFonts w:ascii="Arial" w:eastAsia="Arial" w:hAnsi="Arial" w:cs="Times New Roman"/>
          <w:lang w:val="en-IE"/>
        </w:rPr>
        <w:t xml:space="preserve">in </w:t>
      </w:r>
      <w:r w:rsidR="00E47C70">
        <w:rPr>
          <w:rFonts w:ascii="Arial" w:eastAsia="Arial" w:hAnsi="Arial" w:cs="Times New Roman"/>
          <w:lang w:val="en-IE"/>
        </w:rPr>
        <w:t xml:space="preserve">the context of these </w:t>
      </w:r>
      <w:r w:rsidR="00855E6B">
        <w:rPr>
          <w:rFonts w:ascii="Arial" w:eastAsia="Arial" w:hAnsi="Arial" w:cs="Times New Roman"/>
          <w:lang w:val="en-IE"/>
        </w:rPr>
        <w:t xml:space="preserve">Guidelines. </w:t>
      </w:r>
      <w:r w:rsidR="00B6343D" w:rsidRPr="008D5996">
        <w:rPr>
          <w:rFonts w:ascii="Arial" w:eastAsia="Arial" w:hAnsi="Arial" w:cs="Times New Roman"/>
          <w:lang w:val="en-IE"/>
        </w:rPr>
        <w:t>BEREC may revisit its position on this aspect at a later stage.</w:t>
      </w:r>
    </w:p>
    <w:p w14:paraId="4C3A5E7C" w14:textId="7D00D822" w:rsidR="00E47C70" w:rsidRPr="009D2627" w:rsidRDefault="00E47C70" w:rsidP="009D2627">
      <w:pPr>
        <w:pStyle w:val="ListParagraph"/>
        <w:numPr>
          <w:ilvl w:val="0"/>
          <w:numId w:val="47"/>
        </w:numPr>
        <w:rPr>
          <w:rFonts w:ascii="Arial" w:eastAsia="Arial" w:hAnsi="Arial" w:cs="Times New Roman"/>
          <w:lang w:val="en-IE"/>
        </w:rPr>
      </w:pPr>
      <w:r w:rsidRPr="008D5996">
        <w:rPr>
          <w:rFonts w:ascii="Arial" w:eastAsia="Arial" w:hAnsi="Arial" w:cs="Times New Roman"/>
          <w:lang w:val="en-IE"/>
        </w:rPr>
        <w:t>No relevant issues regarding the condition of a co-investment being made in good faith have been id</w:t>
      </w:r>
      <w:r w:rsidR="009D2627">
        <w:rPr>
          <w:rFonts w:ascii="Arial" w:eastAsia="Arial" w:hAnsi="Arial" w:cs="Times New Roman"/>
          <w:lang w:val="en-IE"/>
        </w:rPr>
        <w:t>entified for this point so far.</w:t>
      </w:r>
    </w:p>
    <w:p w14:paraId="76479422" w14:textId="77777777" w:rsidR="00547A0D" w:rsidRPr="00547A0D" w:rsidRDefault="00547A0D" w:rsidP="00547A0D">
      <w:pPr>
        <w:keepNext/>
        <w:keepLines/>
        <w:numPr>
          <w:ilvl w:val="0"/>
          <w:numId w:val="22"/>
        </w:numPr>
        <w:spacing w:before="480" w:after="120"/>
        <w:outlineLvl w:val="0"/>
        <w:rPr>
          <w:rFonts w:ascii="Arial" w:eastAsia="Times New Roman" w:hAnsi="Arial" w:cs="Times New Roman"/>
          <w:b/>
          <w:bCs/>
          <w:color w:val="000000"/>
          <w:sz w:val="32"/>
          <w:szCs w:val="28"/>
          <w:lang w:val="en-IE"/>
        </w:rPr>
      </w:pPr>
      <w:bookmarkStart w:id="207" w:name="_Toc36816382"/>
      <w:bookmarkStart w:id="208" w:name="_Toc36030388"/>
      <w:bookmarkStart w:id="209" w:name="_Toc38464100"/>
      <w:r w:rsidRPr="00547A0D">
        <w:rPr>
          <w:rFonts w:ascii="Arial" w:eastAsia="Times New Roman" w:hAnsi="Arial" w:cs="Times New Roman"/>
          <w:b/>
          <w:bCs/>
          <w:color w:val="000000"/>
          <w:sz w:val="32"/>
          <w:szCs w:val="28"/>
          <w:lang w:val="en-IE"/>
        </w:rPr>
        <w:t>REVIEW CLAUSE</w:t>
      </w:r>
      <w:bookmarkEnd w:id="207"/>
      <w:bookmarkEnd w:id="208"/>
      <w:bookmarkEnd w:id="209"/>
      <w:r w:rsidRPr="00547A0D">
        <w:rPr>
          <w:rFonts w:ascii="Arial" w:eastAsia="Times New Roman" w:hAnsi="Arial" w:cs="Times New Roman"/>
          <w:b/>
          <w:bCs/>
          <w:color w:val="000000"/>
          <w:sz w:val="32"/>
          <w:szCs w:val="28"/>
          <w:lang w:val="en-IE"/>
        </w:rPr>
        <w:t xml:space="preserve"> </w:t>
      </w:r>
    </w:p>
    <w:p w14:paraId="330ADB6E" w14:textId="77777777" w:rsidR="002B346A" w:rsidRPr="002510B0" w:rsidRDefault="00124B2A" w:rsidP="00511C99">
      <w:pPr>
        <w:ind w:left="0" w:firstLine="0"/>
        <w:rPr>
          <w:rFonts w:ascii="Arial" w:eastAsia="Arial" w:hAnsi="Arial" w:cs="Times New Roman"/>
          <w:lang w:val="en-GB"/>
        </w:rPr>
      </w:pPr>
      <w:r w:rsidRPr="002510B0">
        <w:rPr>
          <w:rFonts w:ascii="Arial" w:eastAsia="Arial" w:hAnsi="Arial" w:cs="Times New Roman"/>
          <w:lang w:val="en-GB"/>
        </w:rPr>
        <w:t>BEREC intends to report on the practical application of these guidelines in accordance with Art</w:t>
      </w:r>
      <w:r w:rsidR="009377D5">
        <w:rPr>
          <w:rFonts w:ascii="Arial" w:eastAsia="Arial" w:hAnsi="Arial" w:cs="Times New Roman"/>
          <w:lang w:val="en-GB"/>
        </w:rPr>
        <w:t>icle</w:t>
      </w:r>
      <w:r w:rsidRPr="002510B0">
        <w:rPr>
          <w:rFonts w:ascii="Arial" w:eastAsia="Arial" w:hAnsi="Arial" w:cs="Times New Roman"/>
          <w:lang w:val="en-GB"/>
        </w:rPr>
        <w:t xml:space="preserve"> 4(1)</w:t>
      </w:r>
      <w:r w:rsidR="001C2B4C">
        <w:rPr>
          <w:rFonts w:ascii="Arial" w:eastAsia="Arial" w:hAnsi="Arial" w:cs="Times New Roman"/>
          <w:lang w:val="en-GB"/>
        </w:rPr>
        <w:t xml:space="preserve"> </w:t>
      </w:r>
      <w:r w:rsidRPr="002510B0">
        <w:rPr>
          <w:rFonts w:ascii="Arial" w:eastAsia="Arial" w:hAnsi="Arial" w:cs="Times New Roman"/>
          <w:lang w:val="en-GB"/>
        </w:rPr>
        <w:t>(j) of the BEREC regulation.</w:t>
      </w:r>
      <w:r>
        <w:rPr>
          <w:rStyle w:val="FootnoteReference"/>
          <w:rFonts w:ascii="Arial" w:eastAsia="Arial" w:hAnsi="Arial" w:cs="Times New Roman"/>
          <w:lang w:val="en-GB"/>
        </w:rPr>
        <w:footnoteReference w:id="45"/>
      </w:r>
      <w:r w:rsidRPr="002510B0">
        <w:rPr>
          <w:rFonts w:ascii="Arial" w:eastAsia="Arial" w:hAnsi="Arial" w:cs="Times New Roman"/>
          <w:lang w:val="en-GB"/>
        </w:rPr>
        <w:t xml:space="preserve"> This report will provide input to an assessment of the need to revise the guidelines. This assessment will be undertaken within five years after the adoption of the guidelines.</w:t>
      </w:r>
    </w:p>
    <w:sectPr w:rsidR="002B346A" w:rsidRPr="002510B0" w:rsidSect="00565BB9">
      <w:headerReference w:type="default" r:id="rId12"/>
      <w:footerReference w:type="default" r:id="rId13"/>
      <w:headerReference w:type="first" r:id="rId14"/>
      <w:footerReference w:type="firs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B048" w14:textId="77777777" w:rsidR="000B1D6C" w:rsidRDefault="000B1D6C" w:rsidP="00565BB9">
      <w:pPr>
        <w:spacing w:after="0" w:line="240" w:lineRule="auto"/>
      </w:pPr>
      <w:r>
        <w:separator/>
      </w:r>
    </w:p>
  </w:endnote>
  <w:endnote w:type="continuationSeparator" w:id="0">
    <w:p w14:paraId="473E312D" w14:textId="77777777" w:rsidR="000B1D6C" w:rsidRDefault="000B1D6C" w:rsidP="00565BB9">
      <w:pPr>
        <w:spacing w:after="0" w:line="240" w:lineRule="auto"/>
      </w:pPr>
      <w:r>
        <w:continuationSeparator/>
      </w:r>
    </w:p>
  </w:endnote>
  <w:endnote w:type="continuationNotice" w:id="1">
    <w:p w14:paraId="428756D3" w14:textId="77777777" w:rsidR="000B1D6C" w:rsidRDefault="000B1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15958"/>
      <w:docPartObj>
        <w:docPartGallery w:val="Page Numbers (Bottom of Page)"/>
        <w:docPartUnique/>
      </w:docPartObj>
    </w:sdtPr>
    <w:sdtEndPr>
      <w:rPr>
        <w:noProof/>
      </w:rPr>
    </w:sdtEndPr>
    <w:sdtContent>
      <w:p w14:paraId="1C0B9FB7" w14:textId="4A705FC8" w:rsidR="00472AA3" w:rsidRDefault="00472AA3">
        <w:pPr>
          <w:pStyle w:val="Footer"/>
          <w:jc w:val="center"/>
        </w:pPr>
        <w:r>
          <w:fldChar w:fldCharType="begin"/>
        </w:r>
        <w:r>
          <w:instrText xml:space="preserve"> PAGE   \* MERGEFORMAT </w:instrText>
        </w:r>
        <w:r>
          <w:fldChar w:fldCharType="separate"/>
        </w:r>
        <w:r w:rsidR="00053005">
          <w:rPr>
            <w:noProof/>
          </w:rPr>
          <w:t>4</w:t>
        </w:r>
        <w:r>
          <w:rPr>
            <w:noProof/>
          </w:rPr>
          <w:fldChar w:fldCharType="end"/>
        </w:r>
      </w:p>
    </w:sdtContent>
  </w:sdt>
  <w:p w14:paraId="04FAE343" w14:textId="77777777" w:rsidR="00472AA3" w:rsidRPr="00565BB9" w:rsidRDefault="00472AA3" w:rsidP="00565BB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932" w14:textId="3378C309" w:rsidR="00472AA3" w:rsidRPr="00565BB9" w:rsidRDefault="00472AA3" w:rsidP="00565BB9">
    <w:pPr>
      <w:spacing w:after="0"/>
      <w:jc w:val="center"/>
      <w:rPr>
        <w:rFonts w:ascii="Arial" w:eastAsia="Arial" w:hAnsi="Arial" w:cs="Times New Roman"/>
        <w:lang w:val="de-AT"/>
      </w:rPr>
    </w:pPr>
    <w:r>
      <w:rPr>
        <w:rFonts w:ascii="Arial" w:eastAsia="Arial" w:hAnsi="Arial" w:cs="Times New Roman"/>
        <w:color w:val="18276E"/>
        <w:sz w:val="32"/>
        <w:szCs w:val="32"/>
        <w:lang w:val="en-GB"/>
      </w:rPr>
      <w:t>12 June</w:t>
    </w:r>
    <w:r w:rsidRPr="002510B0">
      <w:rPr>
        <w:rFonts w:ascii="Arial" w:eastAsia="Arial" w:hAnsi="Arial" w:cs="Times New Roman"/>
        <w:color w:val="18276E"/>
        <w:sz w:val="32"/>
        <w:szCs w:val="32"/>
        <w:lang w:val="en-G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D5E28" w14:textId="77777777" w:rsidR="000B1D6C" w:rsidRDefault="000B1D6C" w:rsidP="00565BB9">
      <w:pPr>
        <w:spacing w:after="0" w:line="240" w:lineRule="auto"/>
      </w:pPr>
      <w:r>
        <w:separator/>
      </w:r>
    </w:p>
  </w:footnote>
  <w:footnote w:type="continuationSeparator" w:id="0">
    <w:p w14:paraId="506666EB" w14:textId="77777777" w:rsidR="000B1D6C" w:rsidRDefault="000B1D6C" w:rsidP="00565BB9">
      <w:pPr>
        <w:spacing w:after="0" w:line="240" w:lineRule="auto"/>
      </w:pPr>
      <w:r>
        <w:continuationSeparator/>
      </w:r>
    </w:p>
  </w:footnote>
  <w:footnote w:type="continuationNotice" w:id="1">
    <w:p w14:paraId="7404126C" w14:textId="77777777" w:rsidR="000B1D6C" w:rsidRDefault="000B1D6C">
      <w:pPr>
        <w:spacing w:after="0" w:line="240" w:lineRule="auto"/>
      </w:pPr>
    </w:p>
  </w:footnote>
  <w:footnote w:id="2">
    <w:p w14:paraId="2816D035" w14:textId="63BEEC40" w:rsidR="00472AA3" w:rsidRDefault="00472AA3" w:rsidP="00895860">
      <w:pPr>
        <w:pStyle w:val="FootnoteText"/>
        <w:ind w:left="0" w:firstLine="0"/>
        <w:rPr>
          <w:szCs w:val="18"/>
        </w:rPr>
      </w:pPr>
      <w:r w:rsidRPr="00B86048">
        <w:rPr>
          <w:rStyle w:val="FootnoteReference"/>
          <w:szCs w:val="18"/>
        </w:rPr>
        <w:footnoteRef/>
      </w:r>
      <w:r w:rsidRPr="00B86048">
        <w:rPr>
          <w:szCs w:val="18"/>
        </w:rPr>
        <w:t xml:space="preserve"> </w:t>
      </w:r>
      <w:r w:rsidRPr="00895860">
        <w:rPr>
          <w:szCs w:val="18"/>
        </w:rPr>
        <w:t>DIRECTIVE (EU) 2018/1972 OF THE EUROPEAN PARLIAMENT AND OF THE COUNCIL</w:t>
      </w:r>
      <w:r w:rsidRPr="00B86048">
        <w:rPr>
          <w:szCs w:val="18"/>
        </w:rPr>
        <w:t xml:space="preserve"> of 11 December 2018 establishing the European Electronic Communications Code (EECC)</w:t>
      </w:r>
      <w:r>
        <w:rPr>
          <w:szCs w:val="18"/>
        </w:rPr>
        <w:t xml:space="preserve"> </w:t>
      </w:r>
      <w:r w:rsidRPr="00895860">
        <w:rPr>
          <w:szCs w:val="18"/>
        </w:rPr>
        <w:t>(Recast)</w:t>
      </w:r>
    </w:p>
    <w:p w14:paraId="2354C663" w14:textId="11B2EE60" w:rsidR="00472AA3" w:rsidRPr="00B86048" w:rsidRDefault="00472AA3" w:rsidP="00895860">
      <w:pPr>
        <w:pStyle w:val="FootnoteText"/>
        <w:ind w:left="0" w:firstLine="0"/>
        <w:rPr>
          <w:szCs w:val="18"/>
        </w:rPr>
      </w:pPr>
      <w:hyperlink r:id="rId1" w:history="1">
        <w:r w:rsidRPr="008D19C3">
          <w:rPr>
            <w:rStyle w:val="Hyperlink"/>
            <w:szCs w:val="18"/>
          </w:rPr>
          <w:t>https://eur-lex.europa.eu/legal-content/EN/TXT/PDF/?uri=CELEX:32018L1972&amp;from=EN</w:t>
        </w:r>
      </w:hyperlink>
    </w:p>
  </w:footnote>
  <w:footnote w:id="3">
    <w:p w14:paraId="0E3E545A"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According to Article 76(4): “</w:t>
      </w:r>
      <w:r w:rsidRPr="00B86048">
        <w:rPr>
          <w:i/>
          <w:iCs/>
          <w:szCs w:val="18"/>
        </w:rPr>
        <w:t>BEREC, after consulting stakeholders and in close cooperation with the Commission, shall publish guidelines to foster the consistent application by national regulatory authorities of the conditions set out in paragraph 1, and the criteria set out in Annex IV</w:t>
      </w:r>
      <w:r w:rsidRPr="00B86048">
        <w:rPr>
          <w:szCs w:val="18"/>
        </w:rPr>
        <w:t>”</w:t>
      </w:r>
    </w:p>
  </w:footnote>
  <w:footnote w:id="4">
    <w:p w14:paraId="0836C509"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The associations attending to this workshop were Cable Europe, ECTA, ETNO, FTTH Council Europe, and the GSMA.</w:t>
      </w:r>
    </w:p>
  </w:footnote>
  <w:footnote w:id="5">
    <w:p w14:paraId="3831908F"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The associations attending to this workshop were ECTA, ELFA, ETNO, Cable Europe, the FTTH Council Europe and Digital Europe</w:t>
      </w:r>
      <w:r w:rsidRPr="00B86048">
        <w:rPr>
          <w:szCs w:val="18"/>
          <w:lang w:val="en-US"/>
        </w:rPr>
        <w:t xml:space="preserve">. </w:t>
      </w:r>
    </w:p>
  </w:footnote>
  <w:footnote w:id="6">
    <w:p w14:paraId="608390D1" w14:textId="77777777" w:rsidR="00472AA3" w:rsidRPr="00B86048" w:rsidRDefault="00472AA3" w:rsidP="00895860">
      <w:pPr>
        <w:pStyle w:val="FootnoteText"/>
        <w:ind w:left="0" w:firstLine="0"/>
        <w:rPr>
          <w:rFonts w:cs="Arial"/>
          <w:szCs w:val="18"/>
        </w:rPr>
      </w:pPr>
      <w:r w:rsidRPr="00B86048">
        <w:rPr>
          <w:rStyle w:val="FootnoteReference"/>
          <w:szCs w:val="18"/>
        </w:rPr>
        <w:footnoteRef/>
      </w:r>
      <w:r w:rsidRPr="00B86048">
        <w:rPr>
          <w:szCs w:val="18"/>
        </w:rPr>
        <w:t xml:space="preserve"> On the other hand, it will always be up to the SMP operator to decide whether to engage in the procedure contemplated under Article 76 of the EECC by voluntarily offering commitments under Article 79 to be deregulated regarding the new network</w:t>
      </w:r>
      <w:r w:rsidRPr="00B86048">
        <w:rPr>
          <w:rFonts w:asciiTheme="minorHAnsi" w:hAnsiTheme="minorHAnsi"/>
          <w:szCs w:val="18"/>
          <w:lang w:val="en-US"/>
        </w:rPr>
        <w:t xml:space="preserve"> </w:t>
      </w:r>
      <w:r w:rsidRPr="00B86048">
        <w:rPr>
          <w:szCs w:val="18"/>
          <w:lang w:val="en-US"/>
        </w:rPr>
        <w:t>deployment, or wait for the conclusion of the traditional SMP assessment process that NRAs carry out periodically</w:t>
      </w:r>
      <w:r w:rsidRPr="00B86048">
        <w:rPr>
          <w:szCs w:val="18"/>
        </w:rPr>
        <w:t xml:space="preserve"> (and that may lead to deregulation of the relevant market if SMP is no longer found).</w:t>
      </w:r>
    </w:p>
  </w:footnote>
  <w:footnote w:id="7">
    <w:p w14:paraId="32579E15"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According to Article 2(2) of the EECC, </w:t>
      </w:r>
      <w:r w:rsidRPr="00B86048">
        <w:rPr>
          <w:rFonts w:cs="Arial"/>
          <w:szCs w:val="18"/>
        </w:rPr>
        <w:t xml:space="preserve">a very high capacity network </w:t>
      </w:r>
      <w:r w:rsidRPr="00B86048">
        <w:rPr>
          <w:rFonts w:cs="Arial"/>
          <w:i/>
          <w:szCs w:val="18"/>
        </w:rPr>
        <w:t>“means either an electronic communications network which consists wholly of optical fibre elements at least up to the distribution point at the serving location, or an electronic communications network which is capable of delivering, under usual peak-time conditions, similar network performance in terms of available downlink and uplink bandwidth, resilience, error-related parameters, and latency and its variation; network performance can be considered similar regardless of whether the end-user experience varies due to the inherently different characteristics of the medium by which the network ultimately connects with the network termination point”</w:t>
      </w:r>
      <w:r w:rsidRPr="00B86048">
        <w:rPr>
          <w:rFonts w:cs="Arial"/>
          <w:szCs w:val="18"/>
        </w:rPr>
        <w:t>.</w:t>
      </w:r>
    </w:p>
  </w:footnote>
  <w:footnote w:id="8">
    <w:p w14:paraId="665864A4" w14:textId="77777777" w:rsidR="00472AA3" w:rsidRPr="00B86048" w:rsidRDefault="00472AA3" w:rsidP="00895860">
      <w:pPr>
        <w:pStyle w:val="FootnoteText"/>
        <w:ind w:left="0" w:firstLine="0"/>
        <w:rPr>
          <w:szCs w:val="18"/>
          <w:lang w:val="cs-CZ"/>
        </w:rPr>
      </w:pPr>
      <w:r w:rsidRPr="00B86048">
        <w:rPr>
          <w:rStyle w:val="FootnoteReference"/>
          <w:szCs w:val="18"/>
        </w:rPr>
        <w:footnoteRef/>
      </w:r>
      <w:r w:rsidRPr="00B86048">
        <w:rPr>
          <w:szCs w:val="18"/>
        </w:rPr>
        <w:t xml:space="preserve"> </w:t>
      </w:r>
      <w:r w:rsidRPr="00B86048">
        <w:rPr>
          <w:rStyle w:val="tlid-translation"/>
          <w:szCs w:val="18"/>
          <w:lang w:val="en"/>
        </w:rPr>
        <w:t>In accordance with the draft BEREC Guidelines on Very High Capacity Networks (section 5.2), an access point in the case of WLAN (WiFi) networks can also be considered a base station.</w:t>
      </w:r>
    </w:p>
  </w:footnote>
  <w:footnote w:id="9">
    <w:p w14:paraId="6819DFB0"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It is worth recalling that BEREC shall issue Guidelines on the criteria that a network is to fulfil in order to be considered a VHCN according to Article 82 of the EECC. As noted, not every VHCN which meets these criteria will be relevant for the purposes of Article 76 of the EECC and its stricter definition.</w:t>
      </w:r>
    </w:p>
  </w:footnote>
  <w:footnote w:id="10">
    <w:p w14:paraId="43A7434C"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It should be noted that the concept of “</w:t>
      </w:r>
      <w:r w:rsidRPr="00B86048">
        <w:rPr>
          <w:rFonts w:cs="Arial"/>
          <w:szCs w:val="18"/>
        </w:rPr>
        <w:t>new” under Article 76 of the EECC does not have the same meaning as the concept of “new” under Article 61(3) of the EECC (referring to existing infrastructure).</w:t>
      </w:r>
    </w:p>
  </w:footnote>
  <w:footnote w:id="11">
    <w:p w14:paraId="02CD84B8" w14:textId="77777777" w:rsidR="00472AA3" w:rsidRPr="00B86048" w:rsidRDefault="00472AA3" w:rsidP="00895860">
      <w:pPr>
        <w:spacing w:after="0"/>
        <w:ind w:left="0" w:firstLine="0"/>
        <w:rPr>
          <w:rFonts w:ascii="Arial" w:hAnsi="Arial" w:cs="Arial"/>
          <w:sz w:val="18"/>
          <w:szCs w:val="18"/>
          <w:lang w:val="en-GB"/>
        </w:rPr>
      </w:pPr>
      <w:r w:rsidRPr="00B86048">
        <w:rPr>
          <w:rStyle w:val="FootnoteReference"/>
          <w:rFonts w:ascii="Arial" w:hAnsi="Arial" w:cs="Arial"/>
          <w:sz w:val="18"/>
          <w:szCs w:val="18"/>
        </w:rPr>
        <w:footnoteRef/>
      </w:r>
      <w:r w:rsidRPr="00B86048">
        <w:rPr>
          <w:rFonts w:ascii="Arial" w:hAnsi="Arial" w:cs="Arial"/>
          <w:sz w:val="18"/>
          <w:szCs w:val="18"/>
        </w:rPr>
        <w:t xml:space="preserve"> </w:t>
      </w:r>
      <w:r w:rsidRPr="00B86048">
        <w:rPr>
          <w:rFonts w:ascii="Arial" w:hAnsi="Arial" w:cs="Arial"/>
          <w:bCs/>
          <w:sz w:val="18"/>
          <w:szCs w:val="18"/>
        </w:rPr>
        <w:t xml:space="preserve">The situation may however be different in case substantial changes are made after December 2018 to an investment project that was publicly announced before that date. In such a scenario, the NRA may assess to what extent the changes are significant enough for the project to qualify as an investment in a new VHCN according to Article 76 and do not create windfall effects according to guideline (20). </w:t>
      </w:r>
    </w:p>
  </w:footnote>
  <w:footnote w:id="12">
    <w:p w14:paraId="21692C9C" w14:textId="77777777" w:rsidR="00472AA3" w:rsidRPr="00B86048" w:rsidRDefault="00472AA3" w:rsidP="00895860">
      <w:pPr>
        <w:spacing w:after="0"/>
        <w:ind w:left="0" w:firstLine="0"/>
        <w:rPr>
          <w:rFonts w:ascii="Arial" w:hAnsi="Arial" w:cs="Arial"/>
          <w:sz w:val="18"/>
          <w:szCs w:val="18"/>
        </w:rPr>
      </w:pPr>
      <w:r w:rsidRPr="00B86048">
        <w:rPr>
          <w:rStyle w:val="FootnoteReference"/>
          <w:rFonts w:ascii="Arial" w:hAnsi="Arial" w:cs="Arial"/>
          <w:sz w:val="18"/>
          <w:szCs w:val="18"/>
        </w:rPr>
        <w:footnoteRef/>
      </w:r>
      <w:r w:rsidRPr="00B86048">
        <w:rPr>
          <w:rFonts w:ascii="Arial" w:hAnsi="Arial" w:cs="Arial"/>
          <w:sz w:val="18"/>
          <w:szCs w:val="18"/>
        </w:rPr>
        <w:t xml:space="preserve"> </w:t>
      </w:r>
      <w:r w:rsidRPr="00B86048">
        <w:rPr>
          <w:rFonts w:ascii="Arial" w:hAnsi="Arial" w:cs="Arial"/>
          <w:sz w:val="18"/>
          <w:szCs w:val="18"/>
          <w:lang w:val="en-GB"/>
        </w:rPr>
        <w:t>With windfall effects, we refer to effects (in this case, profits or gains) that are sudden and/or unexpected, and as such were not anticipated when making the investment.</w:t>
      </w:r>
    </w:p>
  </w:footnote>
  <w:footnote w:id="13">
    <w:p w14:paraId="5AE12521" w14:textId="77777777" w:rsidR="00472AA3" w:rsidRPr="00B86048" w:rsidRDefault="00472AA3" w:rsidP="00895860">
      <w:pPr>
        <w:pStyle w:val="FootnoteText"/>
        <w:ind w:left="0" w:firstLine="0"/>
        <w:rPr>
          <w:szCs w:val="18"/>
        </w:rPr>
      </w:pPr>
      <w:r w:rsidRPr="00B86048">
        <w:rPr>
          <w:rStyle w:val="FootnoteReference"/>
          <w:rFonts w:cs="Arial"/>
          <w:szCs w:val="18"/>
        </w:rPr>
        <w:footnoteRef/>
      </w:r>
      <w:r w:rsidRPr="00B86048">
        <w:rPr>
          <w:rFonts w:cs="Arial"/>
          <w:szCs w:val="18"/>
        </w:rPr>
        <w:t xml:space="preserve"> See also in this</w:t>
      </w:r>
      <w:r w:rsidRPr="00B86048">
        <w:rPr>
          <w:szCs w:val="18"/>
        </w:rPr>
        <w:t xml:space="preserve"> regard the section in the Guidelines dealing with Article76.1.c) (publication in advance).</w:t>
      </w:r>
    </w:p>
  </w:footnote>
  <w:footnote w:id="14">
    <w:p w14:paraId="0A5A4646" w14:textId="77777777" w:rsidR="00472AA3" w:rsidRPr="00B86048" w:rsidRDefault="00472AA3" w:rsidP="00895860">
      <w:pPr>
        <w:pStyle w:val="FootnoteText"/>
        <w:ind w:left="0" w:firstLine="0"/>
        <w:rPr>
          <w:rFonts w:cs="Arial"/>
          <w:szCs w:val="18"/>
        </w:rPr>
      </w:pPr>
      <w:r w:rsidRPr="00B86048">
        <w:rPr>
          <w:rStyle w:val="FootnoteReference"/>
          <w:szCs w:val="18"/>
        </w:rPr>
        <w:footnoteRef/>
      </w:r>
      <w:r w:rsidRPr="00B86048">
        <w:rPr>
          <w:szCs w:val="18"/>
        </w:rPr>
        <w:t xml:space="preserve"> </w:t>
      </w:r>
      <w:r w:rsidRPr="00B86048">
        <w:rPr>
          <w:rFonts w:cs="Arial"/>
          <w:szCs w:val="18"/>
        </w:rPr>
        <w:t>R</w:t>
      </w:r>
      <w:r w:rsidRPr="00B86048">
        <w:rPr>
          <w:rFonts w:eastAsia="Arial" w:cs="Arial"/>
          <w:color w:val="211D1E"/>
          <w:szCs w:val="18"/>
        </w:rPr>
        <w:t xml:space="preserve">egardless of the fact that the commitments procedure would only formally be triggered once the EECC is </w:t>
      </w:r>
      <w:r w:rsidRPr="00B86048">
        <w:rPr>
          <w:rFonts w:eastAsia="Arial" w:cs="Arial"/>
          <w:szCs w:val="18"/>
        </w:rPr>
        <w:t>finally transposed into national law.</w:t>
      </w:r>
    </w:p>
  </w:footnote>
  <w:footnote w:id="15">
    <w:p w14:paraId="44469264" w14:textId="77777777" w:rsidR="00472AA3" w:rsidRPr="00B86048" w:rsidRDefault="00472AA3" w:rsidP="00895860">
      <w:pPr>
        <w:ind w:left="0" w:firstLine="0"/>
        <w:rPr>
          <w:sz w:val="18"/>
          <w:szCs w:val="18"/>
          <w:lang w:val="en-GB"/>
        </w:rPr>
      </w:pPr>
      <w:r w:rsidRPr="00B86048">
        <w:rPr>
          <w:rStyle w:val="FootnoteReference"/>
          <w:rFonts w:ascii="Arial" w:hAnsi="Arial" w:cs="Arial"/>
          <w:sz w:val="18"/>
          <w:szCs w:val="18"/>
        </w:rPr>
        <w:footnoteRef/>
      </w:r>
      <w:r w:rsidRPr="00B86048">
        <w:rPr>
          <w:rFonts w:ascii="Arial" w:hAnsi="Arial" w:cs="Arial"/>
          <w:sz w:val="18"/>
          <w:szCs w:val="18"/>
        </w:rPr>
        <w:t xml:space="preserve"> As set in </w:t>
      </w:r>
      <w:r w:rsidRPr="00B86048">
        <w:rPr>
          <w:rFonts w:ascii="Arial" w:hAnsi="Arial" w:cs="Arial"/>
          <w:sz w:val="18"/>
          <w:szCs w:val="18"/>
          <w:shd w:val="clear" w:color="auto" w:fill="FFFFFF"/>
        </w:rPr>
        <w:t xml:space="preserve">Directive 2014/61/EU on measures to reduce the cost of deploying high-speed electronic communications networks, physical infrastructure means </w:t>
      </w:r>
      <w:r w:rsidRPr="00B86048">
        <w:rPr>
          <w:rFonts w:ascii="Arial" w:hAnsi="Arial" w:cs="Arial"/>
          <w:i/>
          <w:sz w:val="18"/>
          <w:szCs w:val="18"/>
          <w:shd w:val="clear" w:color="auto" w:fill="FFFFFF"/>
        </w:rPr>
        <w:t>“any element of a network which is intended to host other elements of a network without becoming itself an active element of the network, such as pipes, masts, ducts, inspection chambers, manholes, cabinets, buildings or entries to buildings, antenna installations, towers and poles”</w:t>
      </w:r>
      <w:r w:rsidRPr="00B86048">
        <w:rPr>
          <w:rFonts w:ascii="Arial" w:hAnsi="Arial" w:cs="Arial"/>
          <w:sz w:val="18"/>
          <w:szCs w:val="18"/>
          <w:shd w:val="clear" w:color="auto" w:fill="FFFFFF"/>
        </w:rPr>
        <w:t>.</w:t>
      </w:r>
    </w:p>
  </w:footnote>
  <w:footnote w:id="16">
    <w:p w14:paraId="626AF18C"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In this regard it is worth recalling that the EECC states that long term risk sharing can be either in the form of co-financing or purchase agreements. For the latter, it is made clear that the agreement needs to entail the acquisition of specific rights to capacity of a structural character in order for the offer to constitute a co-investment. Furthermore, mere rental of capacity does not constitute a co-investment. </w:t>
      </w:r>
    </w:p>
  </w:footnote>
  <w:footnote w:id="17">
    <w:p w14:paraId="3BC1854A" w14:textId="77777777" w:rsidR="00472AA3" w:rsidRPr="00B86048" w:rsidRDefault="00472AA3" w:rsidP="00895860">
      <w:pPr>
        <w:pStyle w:val="FootnoteText"/>
        <w:ind w:left="0" w:firstLine="0"/>
        <w:rPr>
          <w:szCs w:val="18"/>
          <w:lang w:val="en-US"/>
        </w:rPr>
      </w:pPr>
      <w:r w:rsidRPr="00B86048">
        <w:rPr>
          <w:rStyle w:val="FootnoteReference"/>
          <w:szCs w:val="18"/>
        </w:rPr>
        <w:footnoteRef/>
      </w:r>
      <w:r w:rsidRPr="00B86048">
        <w:rPr>
          <w:szCs w:val="18"/>
        </w:rPr>
        <w:t xml:space="preserve"> </w:t>
      </w:r>
      <w:r w:rsidRPr="00B86048">
        <w:rPr>
          <w:szCs w:val="18"/>
          <w:lang w:val="en-US"/>
        </w:rPr>
        <w:t>The governance structure also contributes to the way co-investment projects are managed. In particular, it determines how decisions are made with respect to the development and operation of the network and provides the mechanism for monitoring and enforcing compliance with the terms of the agreement (for example, via service level agreements – “SLAs”).</w:t>
      </w:r>
    </w:p>
  </w:footnote>
  <w:footnote w:id="18">
    <w:p w14:paraId="0A234446"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w:t>
      </w:r>
      <w:r w:rsidRPr="00B86048">
        <w:rPr>
          <w:rFonts w:cs="Arial"/>
          <w:szCs w:val="18"/>
        </w:rPr>
        <w:t>The requirement for openness is not fulfilled if the co-investors are not able to compete effectively and sustainably in the long term in downstream markets in which the undertaking designated as having significant market power is active. This aspect is closely linked to</w:t>
      </w:r>
      <w:r w:rsidRPr="00B86048">
        <w:rPr>
          <w:rFonts w:eastAsia="Arial" w:cs="Arial"/>
          <w:szCs w:val="18"/>
        </w:rPr>
        <w:t xml:space="preserve"> Article 76 (1) (b) (i) and</w:t>
      </w:r>
      <w:r w:rsidRPr="00B86048">
        <w:rPr>
          <w:rFonts w:cs="Arial"/>
          <w:szCs w:val="18"/>
        </w:rPr>
        <w:t xml:space="preserve"> should particularly be examined when assessing </w:t>
      </w:r>
      <w:r w:rsidRPr="00B86048">
        <w:rPr>
          <w:rFonts w:eastAsia="Arial" w:cs="Arial"/>
          <w:szCs w:val="18"/>
        </w:rPr>
        <w:t>the fairness, reasonableness and non-discrimination of the co-investment offer’s terms.</w:t>
      </w:r>
    </w:p>
  </w:footnote>
  <w:footnote w:id="19">
    <w:p w14:paraId="05FEE37C" w14:textId="77777777"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w:t>
      </w:r>
      <w:r w:rsidRPr="00B86048">
        <w:rPr>
          <w:rFonts w:eastAsia="Arial" w:cs="Arial"/>
          <w:szCs w:val="18"/>
        </w:rPr>
        <w:t>In general, a stake can be acquired by bringing capital into the joint venture or in some cases by (also) bringing in other assets (e.g. civil infrastructure already deployed in some areas of the planned network).</w:t>
      </w:r>
    </w:p>
  </w:footnote>
  <w:footnote w:id="20">
    <w:p w14:paraId="1E69CC6A" w14:textId="77777777" w:rsidR="00472AA3" w:rsidRPr="00B86048" w:rsidRDefault="00472AA3" w:rsidP="00895860">
      <w:pPr>
        <w:pStyle w:val="FootnoteText"/>
        <w:ind w:left="0" w:firstLine="0"/>
        <w:rPr>
          <w:szCs w:val="18"/>
        </w:rPr>
      </w:pPr>
      <w:r w:rsidRPr="00B86048">
        <w:rPr>
          <w:rStyle w:val="FootnoteReference"/>
          <w:rFonts w:cs="Arial"/>
          <w:szCs w:val="18"/>
        </w:rPr>
        <w:footnoteRef/>
      </w:r>
      <w:r w:rsidRPr="00B86048">
        <w:rPr>
          <w:rFonts w:cs="Arial"/>
          <w:szCs w:val="18"/>
        </w:rPr>
        <w:t xml:space="preserve"> This does not apply to the same extent to the acquisition of</w:t>
      </w:r>
      <w:r w:rsidRPr="00B86048">
        <w:rPr>
          <w:rFonts w:eastAsia="Arial" w:cs="Arial"/>
          <w:szCs w:val="18"/>
        </w:rPr>
        <w:t xml:space="preserve"> a stake from co-investors that are willing to sell parts of or their whole share.</w:t>
      </w:r>
    </w:p>
  </w:footnote>
  <w:footnote w:id="21">
    <w:p w14:paraId="5BD3B31B" w14:textId="74627BBA" w:rsidR="00472AA3" w:rsidRPr="00B86048" w:rsidRDefault="00472AA3" w:rsidP="00895860">
      <w:pPr>
        <w:pStyle w:val="FootnoteText"/>
        <w:ind w:left="0" w:firstLine="0"/>
        <w:rPr>
          <w:szCs w:val="18"/>
          <w:lang w:val="en-US"/>
        </w:rPr>
      </w:pPr>
      <w:r w:rsidRPr="00B86048">
        <w:rPr>
          <w:rStyle w:val="FootnoteReference"/>
          <w:szCs w:val="18"/>
        </w:rPr>
        <w:footnoteRef/>
      </w:r>
      <w:r w:rsidRPr="00B86048">
        <w:rPr>
          <w:szCs w:val="18"/>
        </w:rPr>
        <w:t xml:space="preserve"> </w:t>
      </w:r>
      <w:r w:rsidRPr="00B86048">
        <w:rPr>
          <w:rFonts w:eastAsia="Arial" w:cs="Arial"/>
          <w:szCs w:val="18"/>
          <w:lang w:val="en-IE"/>
        </w:rPr>
        <w:t>In the context of Article 76 this operator has SMP.</w:t>
      </w:r>
    </w:p>
  </w:footnote>
  <w:footnote w:id="22">
    <w:p w14:paraId="638B0047" w14:textId="77777777"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Access seekers benefit from other guarantees and conditions, which are detailed in point (d).</w:t>
      </w:r>
    </w:p>
  </w:footnote>
  <w:footnote w:id="23">
    <w:p w14:paraId="66968C17"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According to Article 76, par. 1 point b), commitments should allow other co-investors to compete effectively and sustainably in the long term "</w:t>
      </w:r>
      <w:r w:rsidRPr="00B86048">
        <w:rPr>
          <w:i/>
          <w:szCs w:val="18"/>
        </w:rPr>
        <w:t>on terms which include</w:t>
      </w:r>
      <w:r w:rsidRPr="00B86048">
        <w:rPr>
          <w:szCs w:val="18"/>
        </w:rPr>
        <w:t>" sub-conditions (i) to (iv).</w:t>
      </w:r>
    </w:p>
  </w:footnote>
  <w:footnote w:id="24">
    <w:p w14:paraId="38894890" w14:textId="77777777"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In some cases, the four criteria may prove insufficient to ensure effective and sustainable long-term competition. For instance, an SMP operator and a potential co-investor could act strategically to design a co-investment offer that meets the four criteria of (b) (i)-(iv), resulting in a duopoly outcome. </w:t>
      </w:r>
    </w:p>
  </w:footnote>
  <w:footnote w:id="25">
    <w:p w14:paraId="05B19FF9" w14:textId="77777777"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Fair, reasonable and non-discriminatory terms (FRAND terms) are usually seen as a regulatory market-based solution in cases where a company owns/holds an asset/product and other companies need to access/use this asset/product to be able to compete in a given market. These terms should therefore represent a balance of interests between the company that owns/holds an asset/product (in this case the SMP operator) and those companies that need to access/use this asset/product (the other co-investors). Frequent applications of the FRAND principle </w:t>
      </w:r>
      <w:r w:rsidRPr="00B86048">
        <w:rPr>
          <w:rFonts w:cs="Arial"/>
          <w:szCs w:val="18"/>
        </w:rPr>
        <w:softHyphen/>
        <w:t>– outside the regulation of network industries – can be found in patent and competition law.</w:t>
      </w:r>
    </w:p>
  </w:footnote>
  <w:footnote w:id="26">
    <w:p w14:paraId="0A52B6E7" w14:textId="77777777"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w:t>
      </w:r>
      <w:r w:rsidRPr="00B86048">
        <w:rPr>
          <w:rFonts w:cs="Arial"/>
          <w:i/>
          <w:szCs w:val="18"/>
        </w:rPr>
        <w:t>Non-discriminatory terms in this context do not entail that all potential co-investors shall be offered exactly the same terms, including financial terms, but that all variations of the terms offered shall be justified on the basis of the same objective, transparent, non-discriminatory and predictable criteria […].”,</w:t>
      </w:r>
      <w:r w:rsidRPr="00B86048">
        <w:rPr>
          <w:rFonts w:cs="Arial"/>
          <w:szCs w:val="18"/>
        </w:rPr>
        <w:t xml:space="preserve"> (Annex IV (c), first bullet point).</w:t>
      </w:r>
    </w:p>
  </w:footnote>
  <w:footnote w:id="27">
    <w:p w14:paraId="223F6C2D" w14:textId="77777777"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w:t>
      </w:r>
      <w:r w:rsidRPr="00B86048">
        <w:rPr>
          <w:rFonts w:cs="Arial"/>
          <w:i/>
          <w:szCs w:val="18"/>
        </w:rPr>
        <w:t>“Where an undertaking designated as having significant market power makes an offer for co-investment on fair, reasonable and non-discriminatory terms in very high capacity networks that consist of optical fibre elements up to the end-user premises or the base station, providing an opportunity to undertakings of different sizes and financial capacity to become infrastructure co-investors […].”</w:t>
      </w:r>
      <w:r w:rsidRPr="00B86048">
        <w:rPr>
          <w:rFonts w:cs="Arial"/>
          <w:szCs w:val="18"/>
        </w:rPr>
        <w:t>, Recital 199.</w:t>
      </w:r>
    </w:p>
  </w:footnote>
  <w:footnote w:id="28">
    <w:p w14:paraId="7625ACEC" w14:textId="1D42F99A"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w:t>
      </w:r>
      <w:r w:rsidRPr="00B86048">
        <w:rPr>
          <w:rFonts w:cs="Arial"/>
          <w:i/>
          <w:szCs w:val="18"/>
        </w:rPr>
        <w:t>“The undertaking designated as having significant market power may include in the offer reasonable conditions regarding the financial capacity of any undertaking, so that for instance potential co-investors need to demonstrate their ability to deliver phased payments on the basis of which the deployment is planned, the acceptance of a strategic plan on the basis of which medium-term deployment plans are prepared, and so on.”</w:t>
      </w:r>
      <w:r w:rsidRPr="00B86048">
        <w:rPr>
          <w:rFonts w:cs="Arial"/>
          <w:szCs w:val="18"/>
        </w:rPr>
        <w:t>, Annex IV (a).</w:t>
      </w:r>
    </w:p>
  </w:footnote>
  <w:footnote w:id="29">
    <w:p w14:paraId="1E67CAE1" w14:textId="432F3F0E"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The aspect of undertakings of different sizes and financial capacity is also linked to condition (a) of Article 76 (1), which states that the co-investment offer has to be open to any provider of electronic communications networks or services and also to sub-condition (b) (ii) of Article 76 (1), which states that the co-investment offer should give flexibility in terms of the value and the timing of the participation. For more detail on the discussion of minimum levels, see (</w:t>
      </w:r>
      <w:r w:rsidRPr="00B86048">
        <w:rPr>
          <w:rFonts w:cs="Arial"/>
          <w:szCs w:val="18"/>
        </w:rPr>
        <w:fldChar w:fldCharType="begin"/>
      </w:r>
      <w:r w:rsidRPr="00B86048">
        <w:rPr>
          <w:rFonts w:cs="Arial"/>
          <w:szCs w:val="18"/>
        </w:rPr>
        <w:instrText xml:space="preserve"> REF _Ref38453239 \r \h  \* MERGEFORMAT </w:instrText>
      </w:r>
      <w:r w:rsidRPr="00B86048">
        <w:rPr>
          <w:rFonts w:cs="Arial"/>
          <w:szCs w:val="18"/>
        </w:rPr>
      </w:r>
      <w:r w:rsidRPr="00B86048">
        <w:rPr>
          <w:rFonts w:cs="Arial"/>
          <w:szCs w:val="18"/>
        </w:rPr>
        <w:fldChar w:fldCharType="separate"/>
      </w:r>
      <w:r w:rsidR="00F645A3">
        <w:rPr>
          <w:rFonts w:cs="Arial"/>
          <w:szCs w:val="18"/>
        </w:rPr>
        <w:t>3.3.2</w:t>
      </w:r>
      <w:r w:rsidRPr="00B86048">
        <w:rPr>
          <w:rFonts w:cs="Arial"/>
          <w:szCs w:val="18"/>
        </w:rPr>
        <w:fldChar w:fldCharType="end"/>
      </w:r>
      <w:r w:rsidRPr="00B86048">
        <w:rPr>
          <w:rFonts w:cs="Arial"/>
          <w:szCs w:val="18"/>
        </w:rPr>
        <w:t>).</w:t>
      </w:r>
    </w:p>
  </w:footnote>
  <w:footnote w:id="30">
    <w:p w14:paraId="0EDED802" w14:textId="4A313640"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See (</w:t>
      </w:r>
      <w:r w:rsidRPr="00B86048">
        <w:rPr>
          <w:szCs w:val="18"/>
          <w:highlight w:val="cyan"/>
        </w:rPr>
        <w:fldChar w:fldCharType="begin"/>
      </w:r>
      <w:r w:rsidRPr="00B86048">
        <w:rPr>
          <w:szCs w:val="18"/>
        </w:rPr>
        <w:instrText xml:space="preserve"> REF _Ref38453330 \r \h </w:instrText>
      </w:r>
      <w:r>
        <w:rPr>
          <w:szCs w:val="18"/>
          <w:highlight w:val="cyan"/>
        </w:rPr>
        <w:instrText xml:space="preserve"> \* MERGEFORMAT </w:instrText>
      </w:r>
      <w:r w:rsidRPr="00B86048">
        <w:rPr>
          <w:szCs w:val="18"/>
          <w:highlight w:val="cyan"/>
        </w:rPr>
      </w:r>
      <w:r w:rsidRPr="00B86048">
        <w:rPr>
          <w:szCs w:val="18"/>
          <w:highlight w:val="cyan"/>
        </w:rPr>
        <w:fldChar w:fldCharType="separate"/>
      </w:r>
      <w:r w:rsidR="00F645A3">
        <w:rPr>
          <w:szCs w:val="18"/>
        </w:rPr>
        <w:t>3.1.5</w:t>
      </w:r>
      <w:r w:rsidRPr="00B86048">
        <w:rPr>
          <w:szCs w:val="18"/>
          <w:highlight w:val="cyan"/>
        </w:rPr>
        <w:fldChar w:fldCharType="end"/>
      </w:r>
      <w:r w:rsidRPr="00B86048">
        <w:rPr>
          <w:szCs w:val="18"/>
        </w:rPr>
        <w:t>) for more detail on the general typology of different co-investment types.</w:t>
      </w:r>
    </w:p>
  </w:footnote>
  <w:footnote w:id="31">
    <w:p w14:paraId="16117608"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See Annex IV (c), fifth bullet point.</w:t>
      </w:r>
    </w:p>
  </w:footnote>
  <w:footnote w:id="32">
    <w:p w14:paraId="36E9D850"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However, the extent to which co-investors can make use of these rights might be limited by the respective shares of the joint-venture that they hold.</w:t>
      </w:r>
    </w:p>
  </w:footnote>
  <w:footnote w:id="33">
    <w:p w14:paraId="441C52DF"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Nevertheless, rights granted to co-investors could be reciprocal but not necessarily identical to the ones granted to the undertaking leading the deployment in a particular area. E.g., reciprocal access could be offered by all co-investors to each other on the basis of an active product, while co-investors might (implicitly) enjoy a different kind of access to the network they deployed themselves respectively.</w:t>
      </w:r>
    </w:p>
  </w:footnote>
  <w:footnote w:id="34">
    <w:p w14:paraId="0DA41EBD"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As stated in the previous footnote, this does not exclude the possibility that the type of access that co-investors grant each other differs from the implicit access co-investors grant themselves for the area where they deployed the network themselves.</w:t>
      </w:r>
    </w:p>
  </w:footnote>
  <w:footnote w:id="35">
    <w:p w14:paraId="6C3BF773" w14:textId="29B4D20B"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One-way access models are defined in section </w:t>
      </w:r>
      <w:r w:rsidRPr="00B86048">
        <w:rPr>
          <w:szCs w:val="18"/>
        </w:rPr>
        <w:fldChar w:fldCharType="begin"/>
      </w:r>
      <w:r w:rsidRPr="00B86048">
        <w:rPr>
          <w:szCs w:val="18"/>
        </w:rPr>
        <w:instrText xml:space="preserve"> REF _Ref38453628 \r \h  \* MERGEFORMAT </w:instrText>
      </w:r>
      <w:r w:rsidRPr="00B86048">
        <w:rPr>
          <w:szCs w:val="18"/>
        </w:rPr>
      </w:r>
      <w:r w:rsidRPr="00B86048">
        <w:rPr>
          <w:szCs w:val="18"/>
        </w:rPr>
        <w:fldChar w:fldCharType="separate"/>
      </w:r>
      <w:r w:rsidR="00F645A3">
        <w:rPr>
          <w:szCs w:val="18"/>
        </w:rPr>
        <w:t>3.2.1.3</w:t>
      </w:r>
      <w:r w:rsidRPr="00B86048">
        <w:rPr>
          <w:szCs w:val="18"/>
        </w:rPr>
        <w:fldChar w:fldCharType="end"/>
      </w:r>
      <w:r w:rsidRPr="00B86048">
        <w:rPr>
          <w:szCs w:val="18"/>
        </w:rPr>
        <w:t xml:space="preserve">. As stated before, in case of purchase agreements, these need to entail the acquisition of specific rights to capacity of a structural character in order for the offer to constitute a co-investment. Even though the </w:t>
      </w:r>
      <w:r w:rsidRPr="00B86048">
        <w:rPr>
          <w:rFonts w:eastAsia="Arial" w:cs="Arial"/>
          <w:szCs w:val="18"/>
        </w:rPr>
        <w:t xml:space="preserve">level of structural rights co-investors enjoy might be lower in once-way access models, per definition they </w:t>
      </w:r>
      <w:r w:rsidRPr="00B86048">
        <w:rPr>
          <w:szCs w:val="18"/>
        </w:rPr>
        <w:t xml:space="preserve">cannot contain the mere rental of capacity. </w:t>
      </w:r>
    </w:p>
  </w:footnote>
  <w:footnote w:id="36">
    <w:p w14:paraId="5390D8DC"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w:t>
      </w:r>
      <w:r w:rsidRPr="00B86048">
        <w:rPr>
          <w:rFonts w:cs="Arial"/>
          <w:i/>
          <w:szCs w:val="18"/>
        </w:rPr>
        <w:t>“The determination of the financial consideration to be provided by each co-investor needs to reflect the fact that early investors accept greater risks and engage capital sooner.”</w:t>
      </w:r>
      <w:r w:rsidRPr="00B86048">
        <w:rPr>
          <w:rFonts w:cs="Arial"/>
          <w:szCs w:val="18"/>
        </w:rPr>
        <w:t xml:space="preserve">, Annex IV (c), second bullet point. </w:t>
      </w:r>
      <w:r w:rsidRPr="00B86048">
        <w:rPr>
          <w:rFonts w:cs="Arial"/>
          <w:i/>
          <w:szCs w:val="18"/>
        </w:rPr>
        <w:t>“A premium increasing over time shall be considered to be justified for commitments made at later stages and for new co-investors entering the co-investment after the commencement of the project, to reflect diminishing risks and to counteract any incentive to withhold capital in the earlier stages.”</w:t>
      </w:r>
      <w:r w:rsidRPr="00B86048">
        <w:rPr>
          <w:rFonts w:cs="Arial"/>
          <w:szCs w:val="18"/>
        </w:rPr>
        <w:t>, Annex IV (c), third bullet point. It should be noted that the relationship between the timing of entering into the co-investment agreement and the corresponding risk associated with this decision is not always linear. Thus, later investment decisions do not always imply lower levels of risk of the co-investment as a very high degree of market saturation can significantly lower the commercialisation chances of potential co-investors.</w:t>
      </w:r>
    </w:p>
  </w:footnote>
  <w:footnote w:id="37">
    <w:p w14:paraId="76DC40EB"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For this evaluation, past decisions on imposed access remedies could potentially be used as assessment material. However, in many cases, the assessment of the co-investment offers’ terms regarding wholesale access cannot directly be compared to past regulatory decisions such that an independent assessment based on all relevant (case-specific) factors needs to be performed.</w:t>
      </w:r>
    </w:p>
  </w:footnote>
  <w:footnote w:id="38">
    <w:p w14:paraId="7AB35EC5" w14:textId="77777777" w:rsidR="00472AA3" w:rsidRPr="00B86048" w:rsidRDefault="00472AA3" w:rsidP="00895860">
      <w:pPr>
        <w:pStyle w:val="FootnoteText"/>
        <w:ind w:left="0" w:firstLine="0"/>
        <w:rPr>
          <w:rFonts w:cs="Arial"/>
          <w:szCs w:val="18"/>
        </w:rPr>
      </w:pPr>
      <w:r w:rsidRPr="00B86048">
        <w:rPr>
          <w:rStyle w:val="FootnoteReference"/>
          <w:rFonts w:cs="Arial"/>
          <w:szCs w:val="18"/>
        </w:rPr>
        <w:footnoteRef/>
      </w:r>
      <w:r w:rsidRPr="00B86048">
        <w:rPr>
          <w:rFonts w:cs="Arial"/>
          <w:szCs w:val="18"/>
        </w:rPr>
        <w:t xml:space="preserve"> It is important to note that different undertakings participating in a co-investment potentially evaluate the level of risk associated with a given commitment differently. This could especially be the case when comparing the SMP operator with other co-investors, which are often smaller and thus cannot achieve as great efficiency as the SMP operator through economies of scale.</w:t>
      </w:r>
    </w:p>
  </w:footnote>
  <w:footnote w:id="39">
    <w:p w14:paraId="4E479EE1" w14:textId="7E151909"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However, in some cases compliance with this condition could be complex. E.g. in the case of network upgrades (see Section </w:t>
      </w:r>
      <w:r w:rsidRPr="00B86048">
        <w:rPr>
          <w:szCs w:val="18"/>
        </w:rPr>
        <w:fldChar w:fldCharType="begin"/>
      </w:r>
      <w:r w:rsidRPr="00B86048">
        <w:rPr>
          <w:szCs w:val="18"/>
        </w:rPr>
        <w:instrText xml:space="preserve"> REF _Ref38453750 \r \h  \* MERGEFORMAT </w:instrText>
      </w:r>
      <w:r w:rsidRPr="00B86048">
        <w:rPr>
          <w:szCs w:val="18"/>
        </w:rPr>
      </w:r>
      <w:r w:rsidRPr="00B86048">
        <w:rPr>
          <w:szCs w:val="18"/>
        </w:rPr>
        <w:fldChar w:fldCharType="separate"/>
      </w:r>
      <w:r w:rsidR="00F645A3">
        <w:rPr>
          <w:szCs w:val="18"/>
        </w:rPr>
        <w:t>3.1.4</w:t>
      </w:r>
      <w:r w:rsidRPr="00B86048">
        <w:rPr>
          <w:szCs w:val="18"/>
        </w:rPr>
        <w:fldChar w:fldCharType="end"/>
      </w:r>
      <w:r w:rsidRPr="00B86048">
        <w:rPr>
          <w:szCs w:val="18"/>
        </w:rPr>
        <w:t xml:space="preserve">), the network elements subject to the co-investment agreement might only form a small part of the VHCN as a whole. In such cases, it might not be possible or reasonable to grant access solely to the network elements subject to the co-investment. In such cases, it could be necessary to also grant access to some parts of the network that are not subject to the co-investment in order to make sure that the co-investors have access pursuant to this Article. </w:t>
      </w:r>
    </w:p>
  </w:footnote>
  <w:footnote w:id="40">
    <w:p w14:paraId="2CA70C8F"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Paragraph 2 of Article 76 requires that a</w:t>
      </w:r>
      <w:r w:rsidRPr="00B86048">
        <w:rPr>
          <w:rFonts w:cs="Arial"/>
          <w:szCs w:val="18"/>
        </w:rPr>
        <w:t>t least one potential co-investor has entered into a co-investment agreement with the undertaking designated as having significant market power.</w:t>
      </w:r>
    </w:p>
  </w:footnote>
  <w:footnote w:id="41">
    <w:p w14:paraId="1F99963B"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For example, provided the overall financial expenditure for the same services is the same, the fact that in a scenario where one co-investor pays a large part of the cost in the form of an up-front investment and lower ongoing costs, and another co-investor pays a smaller part of that the cost in the form of an upfront investment but pays higher ongoing costs totalling the same, the different payment mechanisms could be considered as being non-discriminatory, provided that the possibility of investing is open to everyone equally up front such that they each have equality of opportunity.</w:t>
      </w:r>
    </w:p>
  </w:footnote>
  <w:footnote w:id="42">
    <w:p w14:paraId="62250576"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An example of the form this could take is set out in Annex IV, point (c): “</w:t>
      </w:r>
      <w:r w:rsidRPr="00B86048">
        <w:rPr>
          <w:i/>
          <w:szCs w:val="18"/>
        </w:rPr>
        <w:t>The offer shall allow flexibility … for example by means of an agreed and potentially increasing percentage of the total end-user lines in a given area, to which co-investors have the possibility to commit gradually and which is set at a unit level enabling smaller co-investors with limited resources to enter the co-investment at a reasonably minimum scale and to gradually increase their participation while ensuring adequate levels of initial commitment.</w:t>
      </w:r>
      <w:r w:rsidRPr="00B86048">
        <w:rPr>
          <w:szCs w:val="18"/>
        </w:rPr>
        <w:t>”</w:t>
      </w:r>
    </w:p>
  </w:footnote>
  <w:footnote w:id="43">
    <w:p w14:paraId="414F6A44"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As per Annex IV, conditions are to be made </w:t>
      </w:r>
      <w:r w:rsidRPr="00B86048">
        <w:rPr>
          <w:rFonts w:eastAsia="Arial" w:cs="Times New Roman"/>
          <w:szCs w:val="18"/>
          <w:lang w:val="en-IE"/>
        </w:rPr>
        <w:t>transparent in the co-investment offer and subsequent agreement.</w:t>
      </w:r>
    </w:p>
  </w:footnote>
  <w:footnote w:id="44">
    <w:p w14:paraId="1EAC89D9" w14:textId="77777777" w:rsidR="00472AA3" w:rsidRPr="00B86048" w:rsidRDefault="00472AA3" w:rsidP="00895860">
      <w:pPr>
        <w:pStyle w:val="FootnoteText"/>
        <w:ind w:left="0" w:firstLine="0"/>
        <w:rPr>
          <w:szCs w:val="18"/>
        </w:rPr>
      </w:pPr>
      <w:r w:rsidRPr="00B86048">
        <w:rPr>
          <w:rStyle w:val="FootnoteReference"/>
          <w:szCs w:val="18"/>
        </w:rPr>
        <w:footnoteRef/>
      </w:r>
      <w:r w:rsidRPr="00B86048">
        <w:rPr>
          <w:szCs w:val="18"/>
        </w:rPr>
        <w:t xml:space="preserve"> Annex IV, paragraph (c), first bullet states: </w:t>
      </w:r>
      <w:r w:rsidRPr="00B86048">
        <w:rPr>
          <w:i/>
          <w:szCs w:val="18"/>
        </w:rPr>
        <w:t>“Non-discriminatory terms in this context do not entail that all potential co-investors shall be offered exactly the same terms, including financial terms, but that all variations of the terms offered shall be justified on the basis of the same objective, transparent, non-discriminatory and predictable criteria“</w:t>
      </w:r>
      <w:r w:rsidRPr="00B86048">
        <w:rPr>
          <w:szCs w:val="18"/>
        </w:rPr>
        <w:t>.</w:t>
      </w:r>
    </w:p>
  </w:footnote>
  <w:footnote w:id="45">
    <w:p w14:paraId="1B3326C1" w14:textId="237D42B5" w:rsidR="00472AA3" w:rsidRDefault="00472AA3" w:rsidP="00895860">
      <w:pPr>
        <w:pStyle w:val="FootnoteText"/>
        <w:ind w:left="0" w:firstLine="0"/>
        <w:rPr>
          <w:szCs w:val="18"/>
        </w:rPr>
      </w:pPr>
      <w:r w:rsidRPr="00B86048">
        <w:rPr>
          <w:rStyle w:val="FootnoteReference"/>
          <w:szCs w:val="18"/>
        </w:rPr>
        <w:footnoteRef/>
      </w:r>
      <w:r w:rsidRPr="00B86048">
        <w:rPr>
          <w:szCs w:val="18"/>
        </w:rPr>
        <w:t xml:space="preserve">   </w:t>
      </w:r>
      <w:r w:rsidRPr="00E30D69">
        <w:rPr>
          <w:szCs w:val="18"/>
        </w:rPr>
        <w:t>REGULATION (EU) 2018/1971 OF THE EUROPEAN PARLIAMENT AND OF THE COUNCIL</w:t>
      </w:r>
      <w:r>
        <w:rPr>
          <w:szCs w:val="18"/>
        </w:rPr>
        <w:t xml:space="preserve"> </w:t>
      </w:r>
      <w:r w:rsidRPr="00E30D69">
        <w:rPr>
          <w:szCs w:val="18"/>
        </w:rPr>
        <w:t>of 11 December 2018</w:t>
      </w:r>
      <w:r>
        <w:rPr>
          <w:szCs w:val="18"/>
        </w:rPr>
        <w:t xml:space="preserve"> </w:t>
      </w:r>
      <w:r w:rsidRPr="00E30D69">
        <w:rPr>
          <w:szCs w:val="18"/>
        </w:rPr>
        <w:t>establishing the Body of European Regulators for Electronic Communications (BEREC) and the Agency for Support  for BEREC (BEREC Office), amending Regulation (EU) 2015/2120 and repealing Regulation (EC) No 1211/2009</w:t>
      </w:r>
    </w:p>
    <w:p w14:paraId="62458B89" w14:textId="6769B7B8" w:rsidR="00472AA3" w:rsidRPr="00E30D69" w:rsidRDefault="00472AA3" w:rsidP="00895860">
      <w:pPr>
        <w:pStyle w:val="FootnoteText"/>
        <w:ind w:left="0" w:firstLine="0"/>
        <w:rPr>
          <w:szCs w:val="18"/>
        </w:rPr>
      </w:pPr>
      <w:hyperlink r:id="rId2" w:history="1">
        <w:r w:rsidRPr="008D19C3">
          <w:rPr>
            <w:rStyle w:val="Hyperlink"/>
            <w:szCs w:val="18"/>
          </w:rPr>
          <w:t>https://eur-lex.europa.eu/legal-content/EN/TXT/PDF/?uri=CELEX:32018R1971&amp;from=EN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4439" w14:textId="334703E0" w:rsidR="00472AA3" w:rsidRPr="00A70BCA" w:rsidRDefault="00472AA3" w:rsidP="00565BB9">
    <w:pPr>
      <w:pStyle w:val="Header"/>
      <w:jc w:val="right"/>
    </w:pPr>
    <w:r w:rsidRPr="00565BB9">
      <w:tab/>
    </w:r>
    <w:r>
      <w:t xml:space="preserve">BoR </w:t>
    </w:r>
    <w:r w:rsidRPr="00203D5B">
      <w:t xml:space="preserve">(20) </w:t>
    </w:r>
    <w:r>
      <w:t>113</w:t>
    </w:r>
  </w:p>
  <w:p w14:paraId="5EF60B95" w14:textId="77777777" w:rsidR="00472AA3" w:rsidRDefault="00472AA3" w:rsidP="00565BB9">
    <w:pPr>
      <w:pStyle w:val="RegistrationNumber"/>
      <w:tabs>
        <w:tab w:val="right" w:pos="9360"/>
      </w:tabs>
      <w:ind w:left="5245" w:hanging="5245"/>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47CD" w14:textId="640C5CB8" w:rsidR="00472AA3" w:rsidRPr="00DB34F4" w:rsidRDefault="00472AA3" w:rsidP="00BC40F5">
    <w:pPr>
      <w:pStyle w:val="Header"/>
      <w:jc w:val="left"/>
      <w:rPr>
        <w:rFonts w:eastAsia="Calibri" w:cs="Times New Roman"/>
        <w:color w:val="21409A"/>
      </w:rPr>
    </w:pPr>
    <w:r>
      <w:rPr>
        <w:noProof/>
        <w:lang w:eastAsia="en-GB"/>
      </w:rPr>
      <w:drawing>
        <wp:inline distT="0" distB="0" distL="0" distR="0" wp14:anchorId="124D1A33" wp14:editId="5A91641D">
          <wp:extent cx="2090089" cy="92880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EC_logo-rgb-HR.jpg"/>
                  <pic:cNvPicPr/>
                </pic:nvPicPr>
                <pic:blipFill>
                  <a:blip r:embed="rId1">
                    <a:extLst>
                      <a:ext uri="{28A0092B-C50C-407E-A947-70E740481C1C}">
                        <a14:useLocalDpi xmlns:a14="http://schemas.microsoft.com/office/drawing/2010/main" val="0"/>
                      </a:ext>
                    </a:extLst>
                  </a:blip>
                  <a:stretch>
                    <a:fillRect/>
                  </a:stretch>
                </pic:blipFill>
                <pic:spPr>
                  <a:xfrm>
                    <a:off x="0" y="0"/>
                    <a:ext cx="2090089" cy="928800"/>
                  </a:xfrm>
                  <a:prstGeom prst="rect">
                    <a:avLst/>
                  </a:prstGeom>
                </pic:spPr>
              </pic:pic>
            </a:graphicData>
          </a:graphic>
        </wp:inline>
      </w:drawing>
    </w:r>
    <w:r>
      <w:t xml:space="preserve">                                                                            </w:t>
    </w:r>
    <w:r w:rsidRPr="00DB34F4">
      <w:rPr>
        <w:rFonts w:eastAsia="Calibri" w:cs="Times New Roman"/>
        <w:color w:val="21409A"/>
      </w:rPr>
      <w:t>BoR (20) 113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F6D"/>
    <w:multiLevelType w:val="multilevel"/>
    <w:tmpl w:val="F9D857A0"/>
    <w:styleLink w:val="RTRAlphaList"/>
    <w:lvl w:ilvl="0">
      <w:start w:val="1"/>
      <w:numFmt w:val="lowerLetter"/>
      <w:pStyle w:val="RTRNuma"/>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 w15:restartNumberingAfterBreak="0">
    <w:nsid w:val="031C0357"/>
    <w:multiLevelType w:val="hybridMultilevel"/>
    <w:tmpl w:val="8A601D32"/>
    <w:lvl w:ilvl="0" w:tplc="04090001">
      <w:start w:val="1"/>
      <w:numFmt w:val="bullet"/>
      <w:lvlText w:val=""/>
      <w:lvlJc w:val="left"/>
      <w:pPr>
        <w:ind w:left="1566" w:hanging="360"/>
      </w:pPr>
      <w:rPr>
        <w:rFonts w:ascii="Symbol" w:hAnsi="Symbol" w:hint="default"/>
      </w:rPr>
    </w:lvl>
    <w:lvl w:ilvl="1" w:tplc="04070003">
      <w:start w:val="1"/>
      <w:numFmt w:val="bullet"/>
      <w:lvlText w:val="o"/>
      <w:lvlJc w:val="left"/>
      <w:pPr>
        <w:ind w:left="2286" w:hanging="360"/>
      </w:pPr>
      <w:rPr>
        <w:rFonts w:ascii="Courier New" w:hAnsi="Courier New" w:cs="Courier New" w:hint="default"/>
      </w:rPr>
    </w:lvl>
    <w:lvl w:ilvl="2" w:tplc="04070005">
      <w:start w:val="1"/>
      <w:numFmt w:val="bullet"/>
      <w:lvlText w:val=""/>
      <w:lvlJc w:val="left"/>
      <w:pPr>
        <w:ind w:left="3006" w:hanging="360"/>
      </w:pPr>
      <w:rPr>
        <w:rFonts w:ascii="Wingdings" w:hAnsi="Wingdings" w:hint="default"/>
      </w:rPr>
    </w:lvl>
    <w:lvl w:ilvl="3" w:tplc="04070001" w:tentative="1">
      <w:start w:val="1"/>
      <w:numFmt w:val="bullet"/>
      <w:lvlText w:val=""/>
      <w:lvlJc w:val="left"/>
      <w:pPr>
        <w:ind w:left="3726" w:hanging="360"/>
      </w:pPr>
      <w:rPr>
        <w:rFonts w:ascii="Symbol" w:hAnsi="Symbol" w:hint="default"/>
      </w:rPr>
    </w:lvl>
    <w:lvl w:ilvl="4" w:tplc="04070003" w:tentative="1">
      <w:start w:val="1"/>
      <w:numFmt w:val="bullet"/>
      <w:lvlText w:val="o"/>
      <w:lvlJc w:val="left"/>
      <w:pPr>
        <w:ind w:left="4446" w:hanging="360"/>
      </w:pPr>
      <w:rPr>
        <w:rFonts w:ascii="Courier New" w:hAnsi="Courier New" w:cs="Courier New" w:hint="default"/>
      </w:rPr>
    </w:lvl>
    <w:lvl w:ilvl="5" w:tplc="04070005" w:tentative="1">
      <w:start w:val="1"/>
      <w:numFmt w:val="bullet"/>
      <w:lvlText w:val=""/>
      <w:lvlJc w:val="left"/>
      <w:pPr>
        <w:ind w:left="5166" w:hanging="360"/>
      </w:pPr>
      <w:rPr>
        <w:rFonts w:ascii="Wingdings" w:hAnsi="Wingdings" w:hint="default"/>
      </w:rPr>
    </w:lvl>
    <w:lvl w:ilvl="6" w:tplc="04070001" w:tentative="1">
      <w:start w:val="1"/>
      <w:numFmt w:val="bullet"/>
      <w:lvlText w:val=""/>
      <w:lvlJc w:val="left"/>
      <w:pPr>
        <w:ind w:left="5886" w:hanging="360"/>
      </w:pPr>
      <w:rPr>
        <w:rFonts w:ascii="Symbol" w:hAnsi="Symbol" w:hint="default"/>
      </w:rPr>
    </w:lvl>
    <w:lvl w:ilvl="7" w:tplc="04070003" w:tentative="1">
      <w:start w:val="1"/>
      <w:numFmt w:val="bullet"/>
      <w:lvlText w:val="o"/>
      <w:lvlJc w:val="left"/>
      <w:pPr>
        <w:ind w:left="6606" w:hanging="360"/>
      </w:pPr>
      <w:rPr>
        <w:rFonts w:ascii="Courier New" w:hAnsi="Courier New" w:cs="Courier New" w:hint="default"/>
      </w:rPr>
    </w:lvl>
    <w:lvl w:ilvl="8" w:tplc="04070005" w:tentative="1">
      <w:start w:val="1"/>
      <w:numFmt w:val="bullet"/>
      <w:lvlText w:val=""/>
      <w:lvlJc w:val="left"/>
      <w:pPr>
        <w:ind w:left="7326" w:hanging="360"/>
      </w:pPr>
      <w:rPr>
        <w:rFonts w:ascii="Wingdings" w:hAnsi="Wingdings" w:hint="default"/>
      </w:rPr>
    </w:lvl>
  </w:abstractNum>
  <w:abstractNum w:abstractNumId="2" w15:restartNumberingAfterBreak="0">
    <w:nsid w:val="039D5E2E"/>
    <w:multiLevelType w:val="hybridMultilevel"/>
    <w:tmpl w:val="F67809BE"/>
    <w:lvl w:ilvl="0" w:tplc="3C9C791E">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5C67FE"/>
    <w:multiLevelType w:val="hybridMultilevel"/>
    <w:tmpl w:val="26D623E0"/>
    <w:lvl w:ilvl="0" w:tplc="04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4E60A77"/>
    <w:multiLevelType w:val="hybridMultilevel"/>
    <w:tmpl w:val="0E1A5C86"/>
    <w:lvl w:ilvl="0" w:tplc="040C000F">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 w15:restartNumberingAfterBreak="0">
    <w:nsid w:val="0AFB6152"/>
    <w:multiLevelType w:val="hybridMultilevel"/>
    <w:tmpl w:val="EE721A8E"/>
    <w:lvl w:ilvl="0" w:tplc="4C3E3F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C70921"/>
    <w:multiLevelType w:val="hybridMultilevel"/>
    <w:tmpl w:val="B37887DE"/>
    <w:lvl w:ilvl="0" w:tplc="0409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0BE86877"/>
    <w:multiLevelType w:val="hybridMultilevel"/>
    <w:tmpl w:val="DC1815DA"/>
    <w:lvl w:ilvl="0" w:tplc="3BCC4A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37E3A"/>
    <w:multiLevelType w:val="hybridMultilevel"/>
    <w:tmpl w:val="5ADAD00A"/>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05F4C73"/>
    <w:multiLevelType w:val="hybridMultilevel"/>
    <w:tmpl w:val="22CC7778"/>
    <w:lvl w:ilvl="0" w:tplc="0407000F">
      <w:start w:val="1"/>
      <w:numFmt w:val="decimal"/>
      <w:lvlText w:val="%1."/>
      <w:lvlJc w:val="left"/>
      <w:pPr>
        <w:ind w:left="930" w:hanging="360"/>
      </w:pPr>
      <w:rPr>
        <w:rFonts w:hint="default"/>
      </w:rPr>
    </w:lvl>
    <w:lvl w:ilvl="1" w:tplc="04070001">
      <w:start w:val="1"/>
      <w:numFmt w:val="bullet"/>
      <w:lvlText w:val=""/>
      <w:lvlJc w:val="left"/>
      <w:pPr>
        <w:ind w:left="1650" w:hanging="360"/>
      </w:pPr>
      <w:rPr>
        <w:rFonts w:ascii="Symbol" w:hAnsi="Symbol"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0" w15:restartNumberingAfterBreak="0">
    <w:nsid w:val="108F753B"/>
    <w:multiLevelType w:val="hybridMultilevel"/>
    <w:tmpl w:val="D76ABD1A"/>
    <w:lvl w:ilvl="0" w:tplc="D568A25A">
      <w:start w:val="1"/>
      <w:numFmt w:val="bullet"/>
      <w:lvlText w:val=""/>
      <w:lvlJc w:val="left"/>
      <w:pPr>
        <w:ind w:left="927" w:hanging="360"/>
      </w:pPr>
      <w:rPr>
        <w:rFonts w:ascii="Wingdings" w:hAnsi="Wingdings" w:hint="default"/>
      </w:rPr>
    </w:lvl>
    <w:lvl w:ilvl="1" w:tplc="0C070003">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15:restartNumberingAfterBreak="0">
    <w:nsid w:val="1139731B"/>
    <w:multiLevelType w:val="hybridMultilevel"/>
    <w:tmpl w:val="21340D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3D085D"/>
    <w:multiLevelType w:val="hybridMultilevel"/>
    <w:tmpl w:val="B10CC874"/>
    <w:lvl w:ilvl="0" w:tplc="0410000F">
      <w:start w:val="3"/>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15EA60BE"/>
    <w:multiLevelType w:val="hybridMultilevel"/>
    <w:tmpl w:val="6B5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61109"/>
    <w:multiLevelType w:val="hybridMultilevel"/>
    <w:tmpl w:val="57F4A17C"/>
    <w:lvl w:ilvl="0" w:tplc="2B88556A">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5B6B0A"/>
    <w:multiLevelType w:val="multilevel"/>
    <w:tmpl w:val="81A4F3E0"/>
    <w:styleLink w:val="RTRListe"/>
    <w:lvl w:ilvl="0">
      <w:start w:val="1"/>
      <w:numFmt w:val="bullet"/>
      <w:pStyle w:val="RTRAufz"/>
      <w:lvlText w:val=""/>
      <w:lvlJc w:val="left"/>
      <w:pPr>
        <w:ind w:left="425" w:hanging="425"/>
      </w:pPr>
      <w:rPr>
        <w:rFonts w:ascii="Wingdings" w:hAnsi="Wingdings" w:hint="default"/>
      </w:rPr>
    </w:lvl>
    <w:lvl w:ilvl="1">
      <w:start w:val="1"/>
      <w:numFmt w:val="bullet"/>
      <w:lvlText w:val="­"/>
      <w:lvlJc w:val="left"/>
      <w:pPr>
        <w:ind w:left="850" w:hanging="425"/>
      </w:pPr>
      <w:rPr>
        <w:rFonts w:ascii="Arial" w:hAnsi="Arial"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6" w15:restartNumberingAfterBreak="0">
    <w:nsid w:val="1C870BF7"/>
    <w:multiLevelType w:val="hybridMultilevel"/>
    <w:tmpl w:val="616E3F4A"/>
    <w:lvl w:ilvl="0" w:tplc="19B80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46D6E"/>
    <w:multiLevelType w:val="hybridMultilevel"/>
    <w:tmpl w:val="C96CD87C"/>
    <w:lvl w:ilvl="0" w:tplc="B52016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F245E"/>
    <w:multiLevelType w:val="hybridMultilevel"/>
    <w:tmpl w:val="D07A7ED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15:restartNumberingAfterBreak="0">
    <w:nsid w:val="1FF3660A"/>
    <w:multiLevelType w:val="hybridMultilevel"/>
    <w:tmpl w:val="C96CD87C"/>
    <w:lvl w:ilvl="0" w:tplc="B52016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F106F"/>
    <w:multiLevelType w:val="hybridMultilevel"/>
    <w:tmpl w:val="41BA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A4778F"/>
    <w:multiLevelType w:val="hybridMultilevel"/>
    <w:tmpl w:val="271CA2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21894FC4"/>
    <w:multiLevelType w:val="hybridMultilevel"/>
    <w:tmpl w:val="6DB411CA"/>
    <w:lvl w:ilvl="0" w:tplc="0407000F">
      <w:start w:val="1"/>
      <w:numFmt w:val="decimal"/>
      <w:lvlText w:val="%1."/>
      <w:lvlJc w:val="left"/>
      <w:pPr>
        <w:ind w:left="360" w:hanging="360"/>
      </w:pPr>
      <w:rPr>
        <w:rFonts w:hint="default"/>
        <w:i w:val="0"/>
        <w:color w:val="000000" w:themeColor="text1"/>
      </w:rPr>
    </w:lvl>
    <w:lvl w:ilvl="1" w:tplc="66FE78DE">
      <w:start w:val="1"/>
      <w:numFmt w:val="upp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235942F5"/>
    <w:multiLevelType w:val="hybridMultilevel"/>
    <w:tmpl w:val="C8DE6B3C"/>
    <w:lvl w:ilvl="0" w:tplc="040C0005">
      <w:start w:val="1"/>
      <w:numFmt w:val="bullet"/>
      <w:lvlText w:val=""/>
      <w:lvlJc w:val="left"/>
      <w:pPr>
        <w:ind w:left="720" w:hanging="360"/>
      </w:pPr>
      <w:rPr>
        <w:rFonts w:ascii="Wingdings" w:hAnsi="Wingdings" w:hint="default"/>
      </w:rPr>
    </w:lvl>
    <w:lvl w:ilvl="1" w:tplc="8A509A3A">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23813728"/>
    <w:multiLevelType w:val="hybridMultilevel"/>
    <w:tmpl w:val="AFEC9B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23C15345"/>
    <w:multiLevelType w:val="hybridMultilevel"/>
    <w:tmpl w:val="779E74C0"/>
    <w:lvl w:ilvl="0" w:tplc="0C0A0001">
      <w:start w:val="1"/>
      <w:numFmt w:val="bullet"/>
      <w:lvlText w:val=""/>
      <w:lvlJc w:val="left"/>
      <w:pPr>
        <w:ind w:left="1614" w:hanging="360"/>
      </w:pPr>
      <w:rPr>
        <w:rFonts w:ascii="Symbol" w:hAnsi="Symbol" w:hint="default"/>
      </w:rPr>
    </w:lvl>
    <w:lvl w:ilvl="1" w:tplc="0C0A0003" w:tentative="1">
      <w:start w:val="1"/>
      <w:numFmt w:val="bullet"/>
      <w:lvlText w:val="o"/>
      <w:lvlJc w:val="left"/>
      <w:pPr>
        <w:ind w:left="2334" w:hanging="360"/>
      </w:pPr>
      <w:rPr>
        <w:rFonts w:ascii="Courier New" w:hAnsi="Courier New" w:cs="Courier New" w:hint="default"/>
      </w:rPr>
    </w:lvl>
    <w:lvl w:ilvl="2" w:tplc="0C0A0005" w:tentative="1">
      <w:start w:val="1"/>
      <w:numFmt w:val="bullet"/>
      <w:lvlText w:val=""/>
      <w:lvlJc w:val="left"/>
      <w:pPr>
        <w:ind w:left="3054" w:hanging="360"/>
      </w:pPr>
      <w:rPr>
        <w:rFonts w:ascii="Wingdings" w:hAnsi="Wingdings" w:hint="default"/>
      </w:rPr>
    </w:lvl>
    <w:lvl w:ilvl="3" w:tplc="0C0A0001" w:tentative="1">
      <w:start w:val="1"/>
      <w:numFmt w:val="bullet"/>
      <w:lvlText w:val=""/>
      <w:lvlJc w:val="left"/>
      <w:pPr>
        <w:ind w:left="3774" w:hanging="360"/>
      </w:pPr>
      <w:rPr>
        <w:rFonts w:ascii="Symbol" w:hAnsi="Symbol" w:hint="default"/>
      </w:rPr>
    </w:lvl>
    <w:lvl w:ilvl="4" w:tplc="0C0A0003" w:tentative="1">
      <w:start w:val="1"/>
      <w:numFmt w:val="bullet"/>
      <w:lvlText w:val="o"/>
      <w:lvlJc w:val="left"/>
      <w:pPr>
        <w:ind w:left="4494" w:hanging="360"/>
      </w:pPr>
      <w:rPr>
        <w:rFonts w:ascii="Courier New" w:hAnsi="Courier New" w:cs="Courier New" w:hint="default"/>
      </w:rPr>
    </w:lvl>
    <w:lvl w:ilvl="5" w:tplc="0C0A0005" w:tentative="1">
      <w:start w:val="1"/>
      <w:numFmt w:val="bullet"/>
      <w:lvlText w:val=""/>
      <w:lvlJc w:val="left"/>
      <w:pPr>
        <w:ind w:left="5214" w:hanging="360"/>
      </w:pPr>
      <w:rPr>
        <w:rFonts w:ascii="Wingdings" w:hAnsi="Wingdings" w:hint="default"/>
      </w:rPr>
    </w:lvl>
    <w:lvl w:ilvl="6" w:tplc="0C0A0001" w:tentative="1">
      <w:start w:val="1"/>
      <w:numFmt w:val="bullet"/>
      <w:lvlText w:val=""/>
      <w:lvlJc w:val="left"/>
      <w:pPr>
        <w:ind w:left="5934" w:hanging="360"/>
      </w:pPr>
      <w:rPr>
        <w:rFonts w:ascii="Symbol" w:hAnsi="Symbol" w:hint="default"/>
      </w:rPr>
    </w:lvl>
    <w:lvl w:ilvl="7" w:tplc="0C0A0003" w:tentative="1">
      <w:start w:val="1"/>
      <w:numFmt w:val="bullet"/>
      <w:lvlText w:val="o"/>
      <w:lvlJc w:val="left"/>
      <w:pPr>
        <w:ind w:left="6654" w:hanging="360"/>
      </w:pPr>
      <w:rPr>
        <w:rFonts w:ascii="Courier New" w:hAnsi="Courier New" w:cs="Courier New" w:hint="default"/>
      </w:rPr>
    </w:lvl>
    <w:lvl w:ilvl="8" w:tplc="0C0A0005" w:tentative="1">
      <w:start w:val="1"/>
      <w:numFmt w:val="bullet"/>
      <w:lvlText w:val=""/>
      <w:lvlJc w:val="left"/>
      <w:pPr>
        <w:ind w:left="7374" w:hanging="360"/>
      </w:pPr>
      <w:rPr>
        <w:rFonts w:ascii="Wingdings" w:hAnsi="Wingdings" w:hint="default"/>
      </w:rPr>
    </w:lvl>
  </w:abstractNum>
  <w:abstractNum w:abstractNumId="26" w15:restartNumberingAfterBreak="0">
    <w:nsid w:val="292C3CEE"/>
    <w:multiLevelType w:val="hybridMultilevel"/>
    <w:tmpl w:val="827E7D2C"/>
    <w:lvl w:ilvl="0" w:tplc="E2F684BA">
      <w:start w:val="5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E03F61"/>
    <w:multiLevelType w:val="hybridMultilevel"/>
    <w:tmpl w:val="3796C504"/>
    <w:lvl w:ilvl="0" w:tplc="040C0005">
      <w:start w:val="1"/>
      <w:numFmt w:val="bullet"/>
      <w:lvlText w:val=""/>
      <w:lvlJc w:val="left"/>
      <w:pPr>
        <w:ind w:left="720" w:hanging="360"/>
      </w:pPr>
      <w:rPr>
        <w:rFonts w:ascii="Wingdings" w:hAnsi="Wingdings" w:hint="default"/>
      </w:rPr>
    </w:lvl>
    <w:lvl w:ilvl="1" w:tplc="0C0A0017">
      <w:start w:val="1"/>
      <w:numFmt w:val="lowerLetter"/>
      <w:lvlText w:val="%2)"/>
      <w:lvlJc w:val="left"/>
      <w:pPr>
        <w:ind w:left="1440" w:hanging="360"/>
      </w:pPr>
      <w:rPr>
        <w:rFonts w:hint="default"/>
      </w:rPr>
    </w:lvl>
    <w:lvl w:ilvl="2" w:tplc="0C0A0017">
      <w:start w:val="1"/>
      <w:numFmt w:val="lowerLetter"/>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29F54BB3"/>
    <w:multiLevelType w:val="hybridMultilevel"/>
    <w:tmpl w:val="9A82F7C8"/>
    <w:lvl w:ilvl="0" w:tplc="113C751E">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9" w15:restartNumberingAfterBreak="0">
    <w:nsid w:val="2FA50975"/>
    <w:multiLevelType w:val="hybridMultilevel"/>
    <w:tmpl w:val="597C77AC"/>
    <w:lvl w:ilvl="0" w:tplc="144AD89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0454F3"/>
    <w:multiLevelType w:val="hybridMultilevel"/>
    <w:tmpl w:val="C96CD87C"/>
    <w:lvl w:ilvl="0" w:tplc="B52016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EA288F"/>
    <w:multiLevelType w:val="hybridMultilevel"/>
    <w:tmpl w:val="2CD43DCA"/>
    <w:lvl w:ilvl="0" w:tplc="03646E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5E20E3"/>
    <w:multiLevelType w:val="hybridMultilevel"/>
    <w:tmpl w:val="834ED134"/>
    <w:lvl w:ilvl="0" w:tplc="B52016E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230E3D"/>
    <w:multiLevelType w:val="hybridMultilevel"/>
    <w:tmpl w:val="404E545E"/>
    <w:lvl w:ilvl="0" w:tplc="1A442168">
      <w:start w:val="2"/>
      <w:numFmt w:val="decimal"/>
      <w:lvlText w:val="%1."/>
      <w:lvlJc w:val="left"/>
      <w:pPr>
        <w:ind w:left="1381" w:hanging="360"/>
      </w:pPr>
      <w:rPr>
        <w:rFonts w:ascii="Arial" w:hAnsi="Arial" w:cs="Arial" w:hint="default"/>
        <w:sz w:val="22"/>
        <w:szCs w:val="22"/>
      </w:rPr>
    </w:lvl>
    <w:lvl w:ilvl="1" w:tplc="04090019">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34" w15:restartNumberingAfterBreak="0">
    <w:nsid w:val="3A6D1FAA"/>
    <w:multiLevelType w:val="hybridMultilevel"/>
    <w:tmpl w:val="AC189712"/>
    <w:lvl w:ilvl="0" w:tplc="19B21B46">
      <w:start w:val="3"/>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3DB33B98"/>
    <w:multiLevelType w:val="multilevel"/>
    <w:tmpl w:val="F1249A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DCC6A68"/>
    <w:multiLevelType w:val="hybridMultilevel"/>
    <w:tmpl w:val="57C0B7D8"/>
    <w:lvl w:ilvl="0" w:tplc="8D125744">
      <w:start w:val="1"/>
      <w:numFmt w:val="bullet"/>
      <w:pStyle w:val="ListBullet3"/>
      <w:lvlText w:val=""/>
      <w:lvlJc w:val="left"/>
      <w:pPr>
        <w:tabs>
          <w:tab w:val="num" w:pos="363"/>
        </w:tabs>
        <w:ind w:left="363" w:hanging="363"/>
      </w:pPr>
      <w:rPr>
        <w:rFonts w:ascii="Symbol" w:hAnsi="Symbol" w:hint="default"/>
        <w:color w:val="auto"/>
      </w:rPr>
    </w:lvl>
    <w:lvl w:ilvl="1" w:tplc="60B22262" w:tentative="1">
      <w:start w:val="1"/>
      <w:numFmt w:val="bullet"/>
      <w:lvlRestart w:val="0"/>
      <w:lvlText w:val="o"/>
      <w:lvlJc w:val="left"/>
      <w:pPr>
        <w:tabs>
          <w:tab w:val="num" w:pos="1440"/>
        </w:tabs>
        <w:ind w:left="1440" w:hanging="360"/>
      </w:pPr>
      <w:rPr>
        <w:rFonts w:ascii="Courier New" w:hAnsi="Courier New" w:hint="default"/>
      </w:rPr>
    </w:lvl>
    <w:lvl w:ilvl="2" w:tplc="4B0A26B0" w:tentative="1">
      <w:start w:val="1"/>
      <w:numFmt w:val="bullet"/>
      <w:lvlRestart w:val="0"/>
      <w:lvlText w:val=""/>
      <w:lvlJc w:val="left"/>
      <w:pPr>
        <w:tabs>
          <w:tab w:val="num" w:pos="2160"/>
        </w:tabs>
        <w:ind w:left="2160" w:hanging="360"/>
      </w:pPr>
      <w:rPr>
        <w:rFonts w:ascii="Wingdings" w:hAnsi="Wingdings" w:hint="default"/>
      </w:rPr>
    </w:lvl>
    <w:lvl w:ilvl="3" w:tplc="862A9578" w:tentative="1">
      <w:start w:val="1"/>
      <w:numFmt w:val="bullet"/>
      <w:lvlRestart w:val="0"/>
      <w:lvlText w:val=""/>
      <w:lvlJc w:val="left"/>
      <w:pPr>
        <w:tabs>
          <w:tab w:val="num" w:pos="2880"/>
        </w:tabs>
        <w:ind w:left="2880" w:hanging="360"/>
      </w:pPr>
      <w:rPr>
        <w:rFonts w:ascii="Symbol" w:hAnsi="Symbol" w:hint="default"/>
      </w:rPr>
    </w:lvl>
    <w:lvl w:ilvl="4" w:tplc="B5E8FE4A" w:tentative="1">
      <w:start w:val="1"/>
      <w:numFmt w:val="bullet"/>
      <w:lvlRestart w:val="0"/>
      <w:lvlText w:val="o"/>
      <w:lvlJc w:val="left"/>
      <w:pPr>
        <w:tabs>
          <w:tab w:val="num" w:pos="3600"/>
        </w:tabs>
        <w:ind w:left="3600" w:hanging="360"/>
      </w:pPr>
      <w:rPr>
        <w:rFonts w:ascii="Courier New" w:hAnsi="Courier New" w:hint="default"/>
      </w:rPr>
    </w:lvl>
    <w:lvl w:ilvl="5" w:tplc="0B4A7102" w:tentative="1">
      <w:start w:val="1"/>
      <w:numFmt w:val="bullet"/>
      <w:lvlRestart w:val="0"/>
      <w:lvlText w:val=""/>
      <w:lvlJc w:val="left"/>
      <w:pPr>
        <w:tabs>
          <w:tab w:val="num" w:pos="4320"/>
        </w:tabs>
        <w:ind w:left="4320" w:hanging="360"/>
      </w:pPr>
      <w:rPr>
        <w:rFonts w:ascii="Wingdings" w:hAnsi="Wingdings" w:hint="default"/>
      </w:rPr>
    </w:lvl>
    <w:lvl w:ilvl="6" w:tplc="CD7A561A" w:tentative="1">
      <w:start w:val="1"/>
      <w:numFmt w:val="bullet"/>
      <w:lvlRestart w:val="0"/>
      <w:lvlText w:val=""/>
      <w:lvlJc w:val="left"/>
      <w:pPr>
        <w:tabs>
          <w:tab w:val="num" w:pos="5040"/>
        </w:tabs>
        <w:ind w:left="5040" w:hanging="360"/>
      </w:pPr>
      <w:rPr>
        <w:rFonts w:ascii="Symbol" w:hAnsi="Symbol" w:hint="default"/>
      </w:rPr>
    </w:lvl>
    <w:lvl w:ilvl="7" w:tplc="954C1558" w:tentative="1">
      <w:start w:val="1"/>
      <w:numFmt w:val="bullet"/>
      <w:lvlRestart w:val="0"/>
      <w:lvlText w:val="o"/>
      <w:lvlJc w:val="left"/>
      <w:pPr>
        <w:tabs>
          <w:tab w:val="num" w:pos="5760"/>
        </w:tabs>
        <w:ind w:left="5760" w:hanging="360"/>
      </w:pPr>
      <w:rPr>
        <w:rFonts w:ascii="Courier New" w:hAnsi="Courier New" w:hint="default"/>
      </w:rPr>
    </w:lvl>
    <w:lvl w:ilvl="8" w:tplc="569CFF1A" w:tentative="1">
      <w:start w:val="1"/>
      <w:numFmt w:val="bullet"/>
      <w:lvlRestart w:val="0"/>
      <w:lvlText w:val=""/>
      <w:lvlJc w:val="left"/>
      <w:pPr>
        <w:tabs>
          <w:tab w:val="num" w:pos="6480"/>
        </w:tabs>
        <w:ind w:left="6480" w:hanging="360"/>
      </w:pPr>
      <w:rPr>
        <w:rFonts w:ascii="Wingdings" w:hAnsi="Wingdings" w:hint="default"/>
      </w:rPr>
    </w:lvl>
  </w:abstractNum>
  <w:abstractNum w:abstractNumId="37" w15:restartNumberingAfterBreak="0">
    <w:nsid w:val="3F2C3570"/>
    <w:multiLevelType w:val="hybridMultilevel"/>
    <w:tmpl w:val="901C2B00"/>
    <w:lvl w:ilvl="0" w:tplc="78749C6C">
      <w:start w:val="95"/>
      <w:numFmt w:val="decimal"/>
      <w:lvlText w:val="(%1)"/>
      <w:lvlJc w:val="left"/>
      <w:pPr>
        <w:ind w:left="720" w:hanging="360"/>
      </w:pPr>
      <w:rPr>
        <w:rFonts w:ascii="Arial" w:hAnsi="Arial" w:cs="Arial" w:hint="default"/>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2F65DF"/>
    <w:multiLevelType w:val="hybridMultilevel"/>
    <w:tmpl w:val="DDA0F348"/>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9" w15:restartNumberingAfterBreak="0">
    <w:nsid w:val="415175F2"/>
    <w:multiLevelType w:val="multilevel"/>
    <w:tmpl w:val="8B605824"/>
    <w:numStyleLink w:val="RTRNummerierung"/>
  </w:abstractNum>
  <w:abstractNum w:abstractNumId="40" w15:restartNumberingAfterBreak="0">
    <w:nsid w:val="426C74AA"/>
    <w:multiLevelType w:val="multilevel"/>
    <w:tmpl w:val="F9D857A0"/>
    <w:numStyleLink w:val="RTRAlphaList"/>
  </w:abstractNum>
  <w:abstractNum w:abstractNumId="41" w15:restartNumberingAfterBreak="0">
    <w:nsid w:val="4363001F"/>
    <w:multiLevelType w:val="hybridMultilevel"/>
    <w:tmpl w:val="55BA1E02"/>
    <w:lvl w:ilvl="0" w:tplc="83082896">
      <w:start w:val="1"/>
      <w:numFmt w:val="lowerRoman"/>
      <w:lvlText w:val="(%1)"/>
      <w:lvlJc w:val="left"/>
      <w:pPr>
        <w:ind w:left="660" w:hanging="45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2" w15:restartNumberingAfterBreak="0">
    <w:nsid w:val="4A5D2461"/>
    <w:multiLevelType w:val="hybridMultilevel"/>
    <w:tmpl w:val="26B6A23A"/>
    <w:lvl w:ilvl="0" w:tplc="8F3C7DA8">
      <w:start w:val="1"/>
      <w:numFmt w:val="lowerRoman"/>
      <w:lvlText w:val="(%1)"/>
      <w:lvlJc w:val="left"/>
      <w:pPr>
        <w:ind w:left="1877" w:hanging="720"/>
      </w:pPr>
      <w:rPr>
        <w:rFonts w:hint="default"/>
      </w:rPr>
    </w:lvl>
    <w:lvl w:ilvl="1" w:tplc="08160019" w:tentative="1">
      <w:start w:val="1"/>
      <w:numFmt w:val="lowerLetter"/>
      <w:lvlText w:val="%2."/>
      <w:lvlJc w:val="left"/>
      <w:pPr>
        <w:ind w:left="2237" w:hanging="360"/>
      </w:pPr>
    </w:lvl>
    <w:lvl w:ilvl="2" w:tplc="0816001B" w:tentative="1">
      <w:start w:val="1"/>
      <w:numFmt w:val="lowerRoman"/>
      <w:lvlText w:val="%3."/>
      <w:lvlJc w:val="right"/>
      <w:pPr>
        <w:ind w:left="2957" w:hanging="180"/>
      </w:pPr>
    </w:lvl>
    <w:lvl w:ilvl="3" w:tplc="0816000F" w:tentative="1">
      <w:start w:val="1"/>
      <w:numFmt w:val="decimal"/>
      <w:lvlText w:val="%4."/>
      <w:lvlJc w:val="left"/>
      <w:pPr>
        <w:ind w:left="3677" w:hanging="360"/>
      </w:pPr>
    </w:lvl>
    <w:lvl w:ilvl="4" w:tplc="08160019" w:tentative="1">
      <w:start w:val="1"/>
      <w:numFmt w:val="lowerLetter"/>
      <w:lvlText w:val="%5."/>
      <w:lvlJc w:val="left"/>
      <w:pPr>
        <w:ind w:left="4397" w:hanging="360"/>
      </w:pPr>
    </w:lvl>
    <w:lvl w:ilvl="5" w:tplc="0816001B" w:tentative="1">
      <w:start w:val="1"/>
      <w:numFmt w:val="lowerRoman"/>
      <w:lvlText w:val="%6."/>
      <w:lvlJc w:val="right"/>
      <w:pPr>
        <w:ind w:left="5117" w:hanging="180"/>
      </w:pPr>
    </w:lvl>
    <w:lvl w:ilvl="6" w:tplc="0816000F" w:tentative="1">
      <w:start w:val="1"/>
      <w:numFmt w:val="decimal"/>
      <w:lvlText w:val="%7."/>
      <w:lvlJc w:val="left"/>
      <w:pPr>
        <w:ind w:left="5837" w:hanging="360"/>
      </w:pPr>
    </w:lvl>
    <w:lvl w:ilvl="7" w:tplc="08160019" w:tentative="1">
      <w:start w:val="1"/>
      <w:numFmt w:val="lowerLetter"/>
      <w:lvlText w:val="%8."/>
      <w:lvlJc w:val="left"/>
      <w:pPr>
        <w:ind w:left="6557" w:hanging="360"/>
      </w:pPr>
    </w:lvl>
    <w:lvl w:ilvl="8" w:tplc="0816001B" w:tentative="1">
      <w:start w:val="1"/>
      <w:numFmt w:val="lowerRoman"/>
      <w:lvlText w:val="%9."/>
      <w:lvlJc w:val="right"/>
      <w:pPr>
        <w:ind w:left="7277" w:hanging="180"/>
      </w:pPr>
    </w:lvl>
  </w:abstractNum>
  <w:abstractNum w:abstractNumId="43" w15:restartNumberingAfterBreak="0">
    <w:nsid w:val="58D94C8C"/>
    <w:multiLevelType w:val="hybridMultilevel"/>
    <w:tmpl w:val="4F8AB008"/>
    <w:lvl w:ilvl="0" w:tplc="B63249D2">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8F87412"/>
    <w:multiLevelType w:val="hybridMultilevel"/>
    <w:tmpl w:val="7428B902"/>
    <w:lvl w:ilvl="0" w:tplc="040C0005">
      <w:start w:val="1"/>
      <w:numFmt w:val="bullet"/>
      <w:lvlText w:val=""/>
      <w:lvlJc w:val="left"/>
      <w:pPr>
        <w:ind w:left="720" w:hanging="360"/>
      </w:pPr>
      <w:rPr>
        <w:rFonts w:ascii="Wingdings" w:hAnsi="Wingdings" w:hint="default"/>
      </w:rPr>
    </w:lvl>
    <w:lvl w:ilvl="1" w:tplc="8A509A3A">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5E1F27ED"/>
    <w:multiLevelType w:val="hybridMultilevel"/>
    <w:tmpl w:val="C4EC1C46"/>
    <w:lvl w:ilvl="0" w:tplc="584A7C36">
      <w:start w:val="34"/>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9000BA"/>
    <w:multiLevelType w:val="hybridMultilevel"/>
    <w:tmpl w:val="0A2C9F7E"/>
    <w:lvl w:ilvl="0" w:tplc="040C0005">
      <w:start w:val="1"/>
      <w:numFmt w:val="bullet"/>
      <w:lvlText w:val=""/>
      <w:lvlJc w:val="left"/>
      <w:pPr>
        <w:ind w:left="567" w:hanging="360"/>
      </w:pPr>
      <w:rPr>
        <w:rFonts w:ascii="Wingdings" w:hAnsi="Wingdings"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47"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14322EB"/>
    <w:multiLevelType w:val="hybridMultilevel"/>
    <w:tmpl w:val="AFBC4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29C3ECD"/>
    <w:multiLevelType w:val="multilevel"/>
    <w:tmpl w:val="8B605824"/>
    <w:styleLink w:val="RTRNummerierung"/>
    <w:lvl w:ilvl="0">
      <w:start w:val="1"/>
      <w:numFmt w:val="decimal"/>
      <w:pStyle w:val="RTR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50" w15:restartNumberingAfterBreak="0">
    <w:nsid w:val="69581D45"/>
    <w:multiLevelType w:val="multilevel"/>
    <w:tmpl w:val="FDA40D52"/>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51" w15:restartNumberingAfterBreak="0">
    <w:nsid w:val="69B17779"/>
    <w:multiLevelType w:val="multilevel"/>
    <w:tmpl w:val="8EF861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ascii="Arial" w:hAnsi="Arial" w:cs="Arial" w:hint="default"/>
        <w:b/>
        <w:sz w:val="24"/>
        <w:szCs w:val="24"/>
      </w:rPr>
    </w:lvl>
    <w:lvl w:ilvl="3">
      <w:start w:val="1"/>
      <w:numFmt w:val="decimal"/>
      <w:isLgl/>
      <w:lvlText w:val="%1.%2.%3.%4."/>
      <w:lvlJc w:val="left"/>
      <w:pPr>
        <w:ind w:left="1080" w:hanging="1080"/>
      </w:pPr>
      <w:rPr>
        <w:rFonts w:ascii="Arial" w:hAnsi="Arial" w:cs="Arial" w:hint="default"/>
        <w:b w:val="0"/>
        <w:bCs w:val="0"/>
        <w:sz w:val="24"/>
        <w:szCs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6C013514"/>
    <w:multiLevelType w:val="hybridMultilevel"/>
    <w:tmpl w:val="AAD2B3D0"/>
    <w:lvl w:ilvl="0" w:tplc="040C0019">
      <w:start w:val="1"/>
      <w:numFmt w:val="lowerLetter"/>
      <w:lvlText w:val="%1."/>
      <w:lvlJc w:val="left"/>
      <w:pPr>
        <w:ind w:left="1724" w:hanging="72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53" w15:restartNumberingAfterBreak="0">
    <w:nsid w:val="6EA04586"/>
    <w:multiLevelType w:val="hybridMultilevel"/>
    <w:tmpl w:val="C03AF494"/>
    <w:lvl w:ilvl="0" w:tplc="9D925178">
      <w:start w:val="110"/>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EC07CD1"/>
    <w:multiLevelType w:val="multilevel"/>
    <w:tmpl w:val="81A4F3E0"/>
    <w:numStyleLink w:val="RTRListe"/>
  </w:abstractNum>
  <w:abstractNum w:abstractNumId="55" w15:restartNumberingAfterBreak="0">
    <w:nsid w:val="713E2CC9"/>
    <w:multiLevelType w:val="hybridMultilevel"/>
    <w:tmpl w:val="7E7A8A28"/>
    <w:lvl w:ilvl="0" w:tplc="B52016E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6B2FBC"/>
    <w:multiLevelType w:val="hybridMultilevel"/>
    <w:tmpl w:val="06FEB7C0"/>
    <w:lvl w:ilvl="0" w:tplc="8A509A3A">
      <w:start w:val="1"/>
      <w:numFmt w:val="bullet"/>
      <w:lvlText w:val="­"/>
      <w:lvlJc w:val="left"/>
      <w:pPr>
        <w:ind w:left="927" w:hanging="360"/>
      </w:pPr>
      <w:rPr>
        <w:rFonts w:ascii="Courier New" w:hAnsi="Courier New" w:hint="default"/>
      </w:rPr>
    </w:lvl>
    <w:lvl w:ilvl="1" w:tplc="8A509A3A">
      <w:start w:val="1"/>
      <w:numFmt w:val="bullet"/>
      <w:lvlText w:val="­"/>
      <w:lvlJc w:val="left"/>
      <w:pPr>
        <w:ind w:left="1647" w:hanging="360"/>
      </w:pPr>
      <w:rPr>
        <w:rFonts w:ascii="Courier New" w:hAnsi="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57" w15:restartNumberingAfterBreak="0">
    <w:nsid w:val="74C57AAE"/>
    <w:multiLevelType w:val="hybridMultilevel"/>
    <w:tmpl w:val="6AE435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9CD71AA"/>
    <w:multiLevelType w:val="hybridMultilevel"/>
    <w:tmpl w:val="2A9299F6"/>
    <w:lvl w:ilvl="0" w:tplc="1A605EC6">
      <w:start w:val="1"/>
      <w:numFmt w:val="lowerRoman"/>
      <w:lvlText w:val="(%1)"/>
      <w:lvlJc w:val="left"/>
      <w:pPr>
        <w:ind w:left="720" w:hanging="360"/>
      </w:pPr>
      <w:rPr>
        <w:rFonts w:ascii="Arial" w:eastAsiaTheme="minorHAnsi"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B2C0A0C"/>
    <w:multiLevelType w:val="hybridMultilevel"/>
    <w:tmpl w:val="C21A0918"/>
    <w:lvl w:ilvl="0" w:tplc="C03413BE">
      <w:start w:val="1"/>
      <w:numFmt w:val="decimal"/>
      <w:lvlText w:val="(%1)"/>
      <w:lvlJc w:val="left"/>
      <w:pPr>
        <w:tabs>
          <w:tab w:val="num" w:pos="1021"/>
        </w:tabs>
        <w:ind w:left="284" w:hanging="284"/>
      </w:pPr>
      <w:rPr>
        <w:rFonts w:ascii="Arial" w:hAnsi="Arial" w:cs="Arial" w:hint="default"/>
        <w:i w:val="0"/>
        <w:lang w:val="en-I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DA45CF6"/>
    <w:multiLevelType w:val="hybridMultilevel"/>
    <w:tmpl w:val="E962D50A"/>
    <w:lvl w:ilvl="0" w:tplc="04090011">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A9151C"/>
    <w:multiLevelType w:val="hybridMultilevel"/>
    <w:tmpl w:val="BE0A1B98"/>
    <w:lvl w:ilvl="0" w:tplc="6024D60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num w:numId="1">
    <w:abstractNumId w:val="10"/>
  </w:num>
  <w:num w:numId="2">
    <w:abstractNumId w:val="49"/>
  </w:num>
  <w:num w:numId="3">
    <w:abstractNumId w:val="15"/>
  </w:num>
  <w:num w:numId="4">
    <w:abstractNumId w:val="0"/>
  </w:num>
  <w:num w:numId="5">
    <w:abstractNumId w:val="39"/>
  </w:num>
  <w:num w:numId="6">
    <w:abstractNumId w:val="40"/>
  </w:num>
  <w:num w:numId="7">
    <w:abstractNumId w:val="54"/>
  </w:num>
  <w:num w:numId="8">
    <w:abstractNumId w:val="36"/>
  </w:num>
  <w:num w:numId="9">
    <w:abstractNumId w:val="50"/>
  </w:num>
  <w:num w:numId="10">
    <w:abstractNumId w:val="47"/>
  </w:num>
  <w:num w:numId="11">
    <w:abstractNumId w:val="21"/>
  </w:num>
  <w:num w:numId="12">
    <w:abstractNumId w:val="46"/>
  </w:num>
  <w:num w:numId="13">
    <w:abstractNumId w:val="23"/>
  </w:num>
  <w:num w:numId="14">
    <w:abstractNumId w:val="44"/>
  </w:num>
  <w:num w:numId="15">
    <w:abstractNumId w:val="56"/>
  </w:num>
  <w:num w:numId="16">
    <w:abstractNumId w:val="27"/>
  </w:num>
  <w:num w:numId="17">
    <w:abstractNumId w:val="31"/>
  </w:num>
  <w:num w:numId="18">
    <w:abstractNumId w:val="24"/>
  </w:num>
  <w:num w:numId="19">
    <w:abstractNumId w:val="52"/>
  </w:num>
  <w:num w:numId="20">
    <w:abstractNumId w:val="8"/>
  </w:num>
  <w:num w:numId="21">
    <w:abstractNumId w:val="3"/>
  </w:num>
  <w:num w:numId="22">
    <w:abstractNumId w:val="51"/>
  </w:num>
  <w:num w:numId="23">
    <w:abstractNumId w:val="11"/>
  </w:num>
  <w:num w:numId="24">
    <w:abstractNumId w:val="25"/>
  </w:num>
  <w:num w:numId="25">
    <w:abstractNumId w:val="7"/>
  </w:num>
  <w:num w:numId="26">
    <w:abstractNumId w:val="42"/>
  </w:num>
  <w:num w:numId="27">
    <w:abstractNumId w:val="28"/>
  </w:num>
  <w:num w:numId="28">
    <w:abstractNumId w:val="14"/>
  </w:num>
  <w:num w:numId="29">
    <w:abstractNumId w:val="9"/>
  </w:num>
  <w:num w:numId="30">
    <w:abstractNumId w:val="58"/>
  </w:num>
  <w:num w:numId="31">
    <w:abstractNumId w:val="38"/>
  </w:num>
  <w:num w:numId="32">
    <w:abstractNumId w:val="18"/>
  </w:num>
  <w:num w:numId="33">
    <w:abstractNumId w:val="41"/>
  </w:num>
  <w:num w:numId="34">
    <w:abstractNumId w:val="20"/>
  </w:num>
  <w:num w:numId="35">
    <w:abstractNumId w:val="1"/>
  </w:num>
  <w:num w:numId="36">
    <w:abstractNumId w:val="6"/>
  </w:num>
  <w:num w:numId="37">
    <w:abstractNumId w:val="29"/>
  </w:num>
  <w:num w:numId="38">
    <w:abstractNumId w:val="13"/>
  </w:num>
  <w:num w:numId="39">
    <w:abstractNumId w:val="60"/>
  </w:num>
  <w:num w:numId="40">
    <w:abstractNumId w:val="34"/>
  </w:num>
  <w:num w:numId="41">
    <w:abstractNumId w:val="22"/>
  </w:num>
  <w:num w:numId="42">
    <w:abstractNumId w:val="57"/>
  </w:num>
  <w:num w:numId="43">
    <w:abstractNumId w:val="48"/>
  </w:num>
  <w:num w:numId="44">
    <w:abstractNumId w:val="12"/>
  </w:num>
  <w:num w:numId="45">
    <w:abstractNumId w:val="33"/>
  </w:num>
  <w:num w:numId="46">
    <w:abstractNumId w:val="16"/>
  </w:num>
  <w:num w:numId="47">
    <w:abstractNumId w:val="59"/>
  </w:num>
  <w:num w:numId="48">
    <w:abstractNumId w:val="5"/>
  </w:num>
  <w:num w:numId="49">
    <w:abstractNumId w:val="43"/>
  </w:num>
  <w:num w:numId="50">
    <w:abstractNumId w:val="2"/>
  </w:num>
  <w:num w:numId="51">
    <w:abstractNumId w:val="17"/>
  </w:num>
  <w:num w:numId="52">
    <w:abstractNumId w:val="19"/>
  </w:num>
  <w:num w:numId="53">
    <w:abstractNumId w:val="30"/>
  </w:num>
  <w:num w:numId="54">
    <w:abstractNumId w:val="55"/>
  </w:num>
  <w:num w:numId="55">
    <w:abstractNumId w:val="45"/>
  </w:num>
  <w:num w:numId="56">
    <w:abstractNumId w:val="26"/>
  </w:num>
  <w:num w:numId="57">
    <w:abstractNumId w:val="32"/>
  </w:num>
  <w:num w:numId="58">
    <w:abstractNumId w:val="37"/>
  </w:num>
  <w:num w:numId="59">
    <w:abstractNumId w:val="53"/>
  </w:num>
  <w:num w:numId="60">
    <w:abstractNumId w:val="35"/>
  </w:num>
  <w:num w:numId="61">
    <w:abstractNumId w:val="61"/>
  </w:num>
  <w:num w:numId="62">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BE"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defaultTabStop w:val="1021"/>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B9"/>
    <w:rsid w:val="000007F6"/>
    <w:rsid w:val="000011EF"/>
    <w:rsid w:val="0000124C"/>
    <w:rsid w:val="00003C87"/>
    <w:rsid w:val="000051CF"/>
    <w:rsid w:val="00006289"/>
    <w:rsid w:val="0000645E"/>
    <w:rsid w:val="000064E6"/>
    <w:rsid w:val="00007791"/>
    <w:rsid w:val="00007F65"/>
    <w:rsid w:val="00012CA6"/>
    <w:rsid w:val="00012EBB"/>
    <w:rsid w:val="00014E4A"/>
    <w:rsid w:val="000154C3"/>
    <w:rsid w:val="000163EE"/>
    <w:rsid w:val="000203A3"/>
    <w:rsid w:val="00020ADC"/>
    <w:rsid w:val="00020C83"/>
    <w:rsid w:val="00023C8A"/>
    <w:rsid w:val="00024A7A"/>
    <w:rsid w:val="00026B41"/>
    <w:rsid w:val="00027FC8"/>
    <w:rsid w:val="00030586"/>
    <w:rsid w:val="000329A4"/>
    <w:rsid w:val="000329D9"/>
    <w:rsid w:val="00033298"/>
    <w:rsid w:val="0003366C"/>
    <w:rsid w:val="00035627"/>
    <w:rsid w:val="0003582E"/>
    <w:rsid w:val="00036D7F"/>
    <w:rsid w:val="0003727F"/>
    <w:rsid w:val="000373E0"/>
    <w:rsid w:val="000417E3"/>
    <w:rsid w:val="00043C80"/>
    <w:rsid w:val="00043F5C"/>
    <w:rsid w:val="0004491D"/>
    <w:rsid w:val="00046EDD"/>
    <w:rsid w:val="00050296"/>
    <w:rsid w:val="0005088B"/>
    <w:rsid w:val="00050A6C"/>
    <w:rsid w:val="00053005"/>
    <w:rsid w:val="000532AA"/>
    <w:rsid w:val="00053E05"/>
    <w:rsid w:val="00054C91"/>
    <w:rsid w:val="00060227"/>
    <w:rsid w:val="000612FE"/>
    <w:rsid w:val="000623C0"/>
    <w:rsid w:val="0006328F"/>
    <w:rsid w:val="000642FE"/>
    <w:rsid w:val="00064D08"/>
    <w:rsid w:val="000657C2"/>
    <w:rsid w:val="0006581D"/>
    <w:rsid w:val="0006653C"/>
    <w:rsid w:val="00066BCF"/>
    <w:rsid w:val="00070862"/>
    <w:rsid w:val="0007101D"/>
    <w:rsid w:val="0007322A"/>
    <w:rsid w:val="000753CB"/>
    <w:rsid w:val="00076489"/>
    <w:rsid w:val="00076B93"/>
    <w:rsid w:val="00076FB2"/>
    <w:rsid w:val="00081533"/>
    <w:rsid w:val="00081E4C"/>
    <w:rsid w:val="000831C9"/>
    <w:rsid w:val="00084723"/>
    <w:rsid w:val="00084CFA"/>
    <w:rsid w:val="00086BA7"/>
    <w:rsid w:val="00086C10"/>
    <w:rsid w:val="00087A88"/>
    <w:rsid w:val="00087D84"/>
    <w:rsid w:val="00090CC7"/>
    <w:rsid w:val="00093BE2"/>
    <w:rsid w:val="00093DCD"/>
    <w:rsid w:val="000A066C"/>
    <w:rsid w:val="000A0D0E"/>
    <w:rsid w:val="000A2980"/>
    <w:rsid w:val="000A5797"/>
    <w:rsid w:val="000A73EB"/>
    <w:rsid w:val="000A797D"/>
    <w:rsid w:val="000B185E"/>
    <w:rsid w:val="000B1B34"/>
    <w:rsid w:val="000B1D6C"/>
    <w:rsid w:val="000B332F"/>
    <w:rsid w:val="000B4502"/>
    <w:rsid w:val="000B53B0"/>
    <w:rsid w:val="000B705A"/>
    <w:rsid w:val="000C006D"/>
    <w:rsid w:val="000C0276"/>
    <w:rsid w:val="000C0849"/>
    <w:rsid w:val="000C1B62"/>
    <w:rsid w:val="000C2DDA"/>
    <w:rsid w:val="000C4598"/>
    <w:rsid w:val="000C477A"/>
    <w:rsid w:val="000C59E9"/>
    <w:rsid w:val="000C67C9"/>
    <w:rsid w:val="000C6C17"/>
    <w:rsid w:val="000C6FCD"/>
    <w:rsid w:val="000C7F08"/>
    <w:rsid w:val="000D035A"/>
    <w:rsid w:val="000D04FA"/>
    <w:rsid w:val="000D1517"/>
    <w:rsid w:val="000D210E"/>
    <w:rsid w:val="000D2DF7"/>
    <w:rsid w:val="000D3439"/>
    <w:rsid w:val="000D3869"/>
    <w:rsid w:val="000D3AA6"/>
    <w:rsid w:val="000D3DD9"/>
    <w:rsid w:val="000D4696"/>
    <w:rsid w:val="000D4815"/>
    <w:rsid w:val="000D4DFD"/>
    <w:rsid w:val="000D6EBB"/>
    <w:rsid w:val="000D6F04"/>
    <w:rsid w:val="000E0D7F"/>
    <w:rsid w:val="000E1516"/>
    <w:rsid w:val="000E4109"/>
    <w:rsid w:val="000E4CA3"/>
    <w:rsid w:val="000E67C0"/>
    <w:rsid w:val="000E68C0"/>
    <w:rsid w:val="000F05EA"/>
    <w:rsid w:val="000F1A32"/>
    <w:rsid w:val="000F3DD5"/>
    <w:rsid w:val="000F4052"/>
    <w:rsid w:val="000F6440"/>
    <w:rsid w:val="000F69C8"/>
    <w:rsid w:val="000F7F34"/>
    <w:rsid w:val="0010140E"/>
    <w:rsid w:val="00104021"/>
    <w:rsid w:val="001043F3"/>
    <w:rsid w:val="00105824"/>
    <w:rsid w:val="00105F51"/>
    <w:rsid w:val="00107632"/>
    <w:rsid w:val="001102BF"/>
    <w:rsid w:val="001104A5"/>
    <w:rsid w:val="00111CFF"/>
    <w:rsid w:val="00112651"/>
    <w:rsid w:val="00113046"/>
    <w:rsid w:val="001135F2"/>
    <w:rsid w:val="001136BF"/>
    <w:rsid w:val="001157FD"/>
    <w:rsid w:val="00115827"/>
    <w:rsid w:val="00115976"/>
    <w:rsid w:val="00115BC2"/>
    <w:rsid w:val="00116241"/>
    <w:rsid w:val="00117931"/>
    <w:rsid w:val="001233C3"/>
    <w:rsid w:val="00123ECE"/>
    <w:rsid w:val="0012458F"/>
    <w:rsid w:val="00124B2A"/>
    <w:rsid w:val="00124ECC"/>
    <w:rsid w:val="00125958"/>
    <w:rsid w:val="00125FD4"/>
    <w:rsid w:val="0012638C"/>
    <w:rsid w:val="0012673A"/>
    <w:rsid w:val="001279F8"/>
    <w:rsid w:val="00131289"/>
    <w:rsid w:val="00132258"/>
    <w:rsid w:val="00132CE9"/>
    <w:rsid w:val="00133C38"/>
    <w:rsid w:val="0013431D"/>
    <w:rsid w:val="00134856"/>
    <w:rsid w:val="00135001"/>
    <w:rsid w:val="001354EE"/>
    <w:rsid w:val="00136D09"/>
    <w:rsid w:val="001379F9"/>
    <w:rsid w:val="00140224"/>
    <w:rsid w:val="001418D6"/>
    <w:rsid w:val="00142EF2"/>
    <w:rsid w:val="00143856"/>
    <w:rsid w:val="001453D4"/>
    <w:rsid w:val="00150503"/>
    <w:rsid w:val="00151565"/>
    <w:rsid w:val="0015285B"/>
    <w:rsid w:val="001528DF"/>
    <w:rsid w:val="00152951"/>
    <w:rsid w:val="00153DFC"/>
    <w:rsid w:val="00160630"/>
    <w:rsid w:val="0016077A"/>
    <w:rsid w:val="001622E7"/>
    <w:rsid w:val="001647B3"/>
    <w:rsid w:val="00166050"/>
    <w:rsid w:val="00170277"/>
    <w:rsid w:val="00170D20"/>
    <w:rsid w:val="00170E11"/>
    <w:rsid w:val="00173038"/>
    <w:rsid w:val="00173054"/>
    <w:rsid w:val="00173540"/>
    <w:rsid w:val="00174E8B"/>
    <w:rsid w:val="00175A29"/>
    <w:rsid w:val="00175B86"/>
    <w:rsid w:val="00177293"/>
    <w:rsid w:val="0017740C"/>
    <w:rsid w:val="00177C9F"/>
    <w:rsid w:val="00177CF3"/>
    <w:rsid w:val="001806EB"/>
    <w:rsid w:val="00180E35"/>
    <w:rsid w:val="00181101"/>
    <w:rsid w:val="001813D1"/>
    <w:rsid w:val="00181CD2"/>
    <w:rsid w:val="00181E19"/>
    <w:rsid w:val="00182404"/>
    <w:rsid w:val="00184B0C"/>
    <w:rsid w:val="0018590A"/>
    <w:rsid w:val="00185F0E"/>
    <w:rsid w:val="00185F8D"/>
    <w:rsid w:val="00187293"/>
    <w:rsid w:val="00187DAF"/>
    <w:rsid w:val="00187F26"/>
    <w:rsid w:val="00190AC0"/>
    <w:rsid w:val="00190B2A"/>
    <w:rsid w:val="00190C8D"/>
    <w:rsid w:val="0019160B"/>
    <w:rsid w:val="00192B5D"/>
    <w:rsid w:val="00193FA3"/>
    <w:rsid w:val="00196917"/>
    <w:rsid w:val="001A2646"/>
    <w:rsid w:val="001A2DB6"/>
    <w:rsid w:val="001A736D"/>
    <w:rsid w:val="001B1413"/>
    <w:rsid w:val="001B224F"/>
    <w:rsid w:val="001B2CDB"/>
    <w:rsid w:val="001B2FBB"/>
    <w:rsid w:val="001B45ED"/>
    <w:rsid w:val="001B69F5"/>
    <w:rsid w:val="001B6B01"/>
    <w:rsid w:val="001B6B56"/>
    <w:rsid w:val="001B7388"/>
    <w:rsid w:val="001B7D60"/>
    <w:rsid w:val="001C19BB"/>
    <w:rsid w:val="001C29FF"/>
    <w:rsid w:val="001C2B4C"/>
    <w:rsid w:val="001C3002"/>
    <w:rsid w:val="001C3BA7"/>
    <w:rsid w:val="001C4985"/>
    <w:rsid w:val="001C6190"/>
    <w:rsid w:val="001C6661"/>
    <w:rsid w:val="001C6804"/>
    <w:rsid w:val="001C715F"/>
    <w:rsid w:val="001D0DE1"/>
    <w:rsid w:val="001D2FA5"/>
    <w:rsid w:val="001D4CFD"/>
    <w:rsid w:val="001D771D"/>
    <w:rsid w:val="001E24AB"/>
    <w:rsid w:val="001E5692"/>
    <w:rsid w:val="001E74DE"/>
    <w:rsid w:val="001F0928"/>
    <w:rsid w:val="001F0E04"/>
    <w:rsid w:val="001F1698"/>
    <w:rsid w:val="001F1F00"/>
    <w:rsid w:val="001F33F0"/>
    <w:rsid w:val="001F46CD"/>
    <w:rsid w:val="001F4E71"/>
    <w:rsid w:val="001F68F2"/>
    <w:rsid w:val="001F6CD1"/>
    <w:rsid w:val="00200D97"/>
    <w:rsid w:val="00201074"/>
    <w:rsid w:val="00201427"/>
    <w:rsid w:val="00201FF3"/>
    <w:rsid w:val="00203528"/>
    <w:rsid w:val="00203B63"/>
    <w:rsid w:val="00203D5B"/>
    <w:rsid w:val="00203E4D"/>
    <w:rsid w:val="00203EC5"/>
    <w:rsid w:val="0020525A"/>
    <w:rsid w:val="00205EB2"/>
    <w:rsid w:val="0020656E"/>
    <w:rsid w:val="002068DD"/>
    <w:rsid w:val="002101D4"/>
    <w:rsid w:val="00210439"/>
    <w:rsid w:val="00211223"/>
    <w:rsid w:val="00211D16"/>
    <w:rsid w:val="002123E4"/>
    <w:rsid w:val="002125F0"/>
    <w:rsid w:val="00212C72"/>
    <w:rsid w:val="00213EAB"/>
    <w:rsid w:val="00216C3F"/>
    <w:rsid w:val="0021752D"/>
    <w:rsid w:val="002179AB"/>
    <w:rsid w:val="00217F8D"/>
    <w:rsid w:val="002225DA"/>
    <w:rsid w:val="00223319"/>
    <w:rsid w:val="002233AA"/>
    <w:rsid w:val="00223937"/>
    <w:rsid w:val="00224B29"/>
    <w:rsid w:val="0022722C"/>
    <w:rsid w:val="00227B5C"/>
    <w:rsid w:val="00227D07"/>
    <w:rsid w:val="00232F9D"/>
    <w:rsid w:val="002342B7"/>
    <w:rsid w:val="00234A84"/>
    <w:rsid w:val="00235121"/>
    <w:rsid w:val="002352E4"/>
    <w:rsid w:val="00236593"/>
    <w:rsid w:val="00236E3A"/>
    <w:rsid w:val="002375B0"/>
    <w:rsid w:val="0024179B"/>
    <w:rsid w:val="00243906"/>
    <w:rsid w:val="00243F6D"/>
    <w:rsid w:val="002440BE"/>
    <w:rsid w:val="002440E7"/>
    <w:rsid w:val="00245A46"/>
    <w:rsid w:val="002462AB"/>
    <w:rsid w:val="00246377"/>
    <w:rsid w:val="0024660B"/>
    <w:rsid w:val="002504B0"/>
    <w:rsid w:val="002505C8"/>
    <w:rsid w:val="002510B0"/>
    <w:rsid w:val="00251B17"/>
    <w:rsid w:val="00251CBC"/>
    <w:rsid w:val="002526B1"/>
    <w:rsid w:val="00253D39"/>
    <w:rsid w:val="0025525B"/>
    <w:rsid w:val="002552F3"/>
    <w:rsid w:val="00256832"/>
    <w:rsid w:val="00256B9C"/>
    <w:rsid w:val="00256C94"/>
    <w:rsid w:val="002577D6"/>
    <w:rsid w:val="002601C0"/>
    <w:rsid w:val="00260C54"/>
    <w:rsid w:val="0026222A"/>
    <w:rsid w:val="0026325A"/>
    <w:rsid w:val="002648D3"/>
    <w:rsid w:val="0026735A"/>
    <w:rsid w:val="002675C9"/>
    <w:rsid w:val="002730B2"/>
    <w:rsid w:val="002752D6"/>
    <w:rsid w:val="00275F1D"/>
    <w:rsid w:val="0027611B"/>
    <w:rsid w:val="00277625"/>
    <w:rsid w:val="00277D46"/>
    <w:rsid w:val="00277E6B"/>
    <w:rsid w:val="002809B6"/>
    <w:rsid w:val="002823CF"/>
    <w:rsid w:val="002825EE"/>
    <w:rsid w:val="002841F4"/>
    <w:rsid w:val="002842DA"/>
    <w:rsid w:val="00285355"/>
    <w:rsid w:val="0028547C"/>
    <w:rsid w:val="0028564D"/>
    <w:rsid w:val="00285BAC"/>
    <w:rsid w:val="00285C3C"/>
    <w:rsid w:val="00285E9E"/>
    <w:rsid w:val="002863F8"/>
    <w:rsid w:val="002869E4"/>
    <w:rsid w:val="00287248"/>
    <w:rsid w:val="00290637"/>
    <w:rsid w:val="00291324"/>
    <w:rsid w:val="00293F5E"/>
    <w:rsid w:val="0029587B"/>
    <w:rsid w:val="00296825"/>
    <w:rsid w:val="002973A0"/>
    <w:rsid w:val="00297A19"/>
    <w:rsid w:val="002A1EE2"/>
    <w:rsid w:val="002A2AE8"/>
    <w:rsid w:val="002A58B6"/>
    <w:rsid w:val="002A600F"/>
    <w:rsid w:val="002B122F"/>
    <w:rsid w:val="002B346A"/>
    <w:rsid w:val="002B3688"/>
    <w:rsid w:val="002B41E5"/>
    <w:rsid w:val="002B558B"/>
    <w:rsid w:val="002B5EAD"/>
    <w:rsid w:val="002B619D"/>
    <w:rsid w:val="002B7404"/>
    <w:rsid w:val="002C04D9"/>
    <w:rsid w:val="002C1E61"/>
    <w:rsid w:val="002C2230"/>
    <w:rsid w:val="002C2AC5"/>
    <w:rsid w:val="002C383F"/>
    <w:rsid w:val="002C3CBD"/>
    <w:rsid w:val="002C4B15"/>
    <w:rsid w:val="002C5DC3"/>
    <w:rsid w:val="002C5E67"/>
    <w:rsid w:val="002C6D9D"/>
    <w:rsid w:val="002D2B2E"/>
    <w:rsid w:val="002D2F40"/>
    <w:rsid w:val="002D56B3"/>
    <w:rsid w:val="002D6605"/>
    <w:rsid w:val="002D73A3"/>
    <w:rsid w:val="002D78E8"/>
    <w:rsid w:val="002E0958"/>
    <w:rsid w:val="002E3A44"/>
    <w:rsid w:val="002E419D"/>
    <w:rsid w:val="002E4956"/>
    <w:rsid w:val="002E645C"/>
    <w:rsid w:val="002F08E7"/>
    <w:rsid w:val="002F179F"/>
    <w:rsid w:val="002F17AA"/>
    <w:rsid w:val="002F3979"/>
    <w:rsid w:val="002F3C4F"/>
    <w:rsid w:val="002F5B07"/>
    <w:rsid w:val="0030013D"/>
    <w:rsid w:val="00301A99"/>
    <w:rsid w:val="00302683"/>
    <w:rsid w:val="003029FF"/>
    <w:rsid w:val="003031AA"/>
    <w:rsid w:val="003039E2"/>
    <w:rsid w:val="00303AEC"/>
    <w:rsid w:val="00304C4C"/>
    <w:rsid w:val="00305BC4"/>
    <w:rsid w:val="003078DB"/>
    <w:rsid w:val="00307A82"/>
    <w:rsid w:val="00313A8D"/>
    <w:rsid w:val="00314D37"/>
    <w:rsid w:val="0031527A"/>
    <w:rsid w:val="00316621"/>
    <w:rsid w:val="00317906"/>
    <w:rsid w:val="00320C24"/>
    <w:rsid w:val="0032143D"/>
    <w:rsid w:val="00321BFF"/>
    <w:rsid w:val="00321D12"/>
    <w:rsid w:val="0032266C"/>
    <w:rsid w:val="0032310E"/>
    <w:rsid w:val="00323352"/>
    <w:rsid w:val="00323360"/>
    <w:rsid w:val="00323491"/>
    <w:rsid w:val="0032591F"/>
    <w:rsid w:val="00325A93"/>
    <w:rsid w:val="003279BD"/>
    <w:rsid w:val="00327AE9"/>
    <w:rsid w:val="00327E09"/>
    <w:rsid w:val="0033002F"/>
    <w:rsid w:val="00331C27"/>
    <w:rsid w:val="00335341"/>
    <w:rsid w:val="0033539B"/>
    <w:rsid w:val="00335C29"/>
    <w:rsid w:val="00336F8E"/>
    <w:rsid w:val="00337467"/>
    <w:rsid w:val="003379A3"/>
    <w:rsid w:val="003400C0"/>
    <w:rsid w:val="00340B41"/>
    <w:rsid w:val="00340D2B"/>
    <w:rsid w:val="003412B8"/>
    <w:rsid w:val="003455CF"/>
    <w:rsid w:val="0034652F"/>
    <w:rsid w:val="0034732F"/>
    <w:rsid w:val="0034735C"/>
    <w:rsid w:val="00347CE8"/>
    <w:rsid w:val="0035069D"/>
    <w:rsid w:val="0035079C"/>
    <w:rsid w:val="00353EAB"/>
    <w:rsid w:val="0035510D"/>
    <w:rsid w:val="0035723A"/>
    <w:rsid w:val="00357618"/>
    <w:rsid w:val="00360C66"/>
    <w:rsid w:val="0036176D"/>
    <w:rsid w:val="00361DF3"/>
    <w:rsid w:val="003626E1"/>
    <w:rsid w:val="00362D72"/>
    <w:rsid w:val="00364415"/>
    <w:rsid w:val="00365423"/>
    <w:rsid w:val="0036746A"/>
    <w:rsid w:val="00367A35"/>
    <w:rsid w:val="00367F59"/>
    <w:rsid w:val="00370164"/>
    <w:rsid w:val="00372483"/>
    <w:rsid w:val="00374090"/>
    <w:rsid w:val="003757B5"/>
    <w:rsid w:val="00375F4B"/>
    <w:rsid w:val="00375FD7"/>
    <w:rsid w:val="0037642E"/>
    <w:rsid w:val="0037678F"/>
    <w:rsid w:val="00377A99"/>
    <w:rsid w:val="00377CF6"/>
    <w:rsid w:val="00377EA0"/>
    <w:rsid w:val="00381B18"/>
    <w:rsid w:val="00382A32"/>
    <w:rsid w:val="003844FA"/>
    <w:rsid w:val="00385A46"/>
    <w:rsid w:val="00385D10"/>
    <w:rsid w:val="00386119"/>
    <w:rsid w:val="00390CBB"/>
    <w:rsid w:val="003912EE"/>
    <w:rsid w:val="00391485"/>
    <w:rsid w:val="003914A6"/>
    <w:rsid w:val="00392D71"/>
    <w:rsid w:val="00392F40"/>
    <w:rsid w:val="00393061"/>
    <w:rsid w:val="003941C0"/>
    <w:rsid w:val="003957A2"/>
    <w:rsid w:val="003964AB"/>
    <w:rsid w:val="003972C2"/>
    <w:rsid w:val="00397BC0"/>
    <w:rsid w:val="003A26B9"/>
    <w:rsid w:val="003A2ACD"/>
    <w:rsid w:val="003A2DEB"/>
    <w:rsid w:val="003A4996"/>
    <w:rsid w:val="003A4B0A"/>
    <w:rsid w:val="003A54D6"/>
    <w:rsid w:val="003A5513"/>
    <w:rsid w:val="003A6AF5"/>
    <w:rsid w:val="003B0885"/>
    <w:rsid w:val="003B0B03"/>
    <w:rsid w:val="003B0F71"/>
    <w:rsid w:val="003B7481"/>
    <w:rsid w:val="003C0162"/>
    <w:rsid w:val="003C5954"/>
    <w:rsid w:val="003C5CF4"/>
    <w:rsid w:val="003C7258"/>
    <w:rsid w:val="003C7966"/>
    <w:rsid w:val="003C799B"/>
    <w:rsid w:val="003C7CCD"/>
    <w:rsid w:val="003C7F67"/>
    <w:rsid w:val="003D1A9F"/>
    <w:rsid w:val="003D36F6"/>
    <w:rsid w:val="003D3D09"/>
    <w:rsid w:val="003D40DD"/>
    <w:rsid w:val="003D434D"/>
    <w:rsid w:val="003D5DFF"/>
    <w:rsid w:val="003E01E0"/>
    <w:rsid w:val="003E220E"/>
    <w:rsid w:val="003E2688"/>
    <w:rsid w:val="003E3236"/>
    <w:rsid w:val="003E39BF"/>
    <w:rsid w:val="003E3E5A"/>
    <w:rsid w:val="003E4D15"/>
    <w:rsid w:val="003E4FC4"/>
    <w:rsid w:val="003E74D8"/>
    <w:rsid w:val="003F13B6"/>
    <w:rsid w:val="003F197B"/>
    <w:rsid w:val="003F2FB5"/>
    <w:rsid w:val="003F3845"/>
    <w:rsid w:val="003F403C"/>
    <w:rsid w:val="003F4D40"/>
    <w:rsid w:val="003F5690"/>
    <w:rsid w:val="003F7C67"/>
    <w:rsid w:val="003F7F58"/>
    <w:rsid w:val="004004F0"/>
    <w:rsid w:val="00402F9E"/>
    <w:rsid w:val="00404619"/>
    <w:rsid w:val="00406FDA"/>
    <w:rsid w:val="00407A38"/>
    <w:rsid w:val="00407D89"/>
    <w:rsid w:val="00411EF7"/>
    <w:rsid w:val="00412908"/>
    <w:rsid w:val="0041294E"/>
    <w:rsid w:val="0041484E"/>
    <w:rsid w:val="00415489"/>
    <w:rsid w:val="00416656"/>
    <w:rsid w:val="00417356"/>
    <w:rsid w:val="00421D5E"/>
    <w:rsid w:val="00421E81"/>
    <w:rsid w:val="00421ED0"/>
    <w:rsid w:val="004223DD"/>
    <w:rsid w:val="00424FAF"/>
    <w:rsid w:val="004251CD"/>
    <w:rsid w:val="004278FA"/>
    <w:rsid w:val="00430477"/>
    <w:rsid w:val="00432B79"/>
    <w:rsid w:val="00437B83"/>
    <w:rsid w:val="00440E9B"/>
    <w:rsid w:val="004428B3"/>
    <w:rsid w:val="00444613"/>
    <w:rsid w:val="0044474A"/>
    <w:rsid w:val="00444915"/>
    <w:rsid w:val="00445537"/>
    <w:rsid w:val="00445D8D"/>
    <w:rsid w:val="00445F46"/>
    <w:rsid w:val="0044748A"/>
    <w:rsid w:val="00451535"/>
    <w:rsid w:val="004531E1"/>
    <w:rsid w:val="00455CF6"/>
    <w:rsid w:val="00456E7A"/>
    <w:rsid w:val="004578BE"/>
    <w:rsid w:val="00461277"/>
    <w:rsid w:val="00461DE7"/>
    <w:rsid w:val="00462908"/>
    <w:rsid w:val="00462A20"/>
    <w:rsid w:val="00462BEA"/>
    <w:rsid w:val="004634DB"/>
    <w:rsid w:val="00465803"/>
    <w:rsid w:val="00465FBC"/>
    <w:rsid w:val="00466EF5"/>
    <w:rsid w:val="00472AA3"/>
    <w:rsid w:val="00472C1F"/>
    <w:rsid w:val="00473C9C"/>
    <w:rsid w:val="00475D59"/>
    <w:rsid w:val="00476855"/>
    <w:rsid w:val="00476BE0"/>
    <w:rsid w:val="004777C3"/>
    <w:rsid w:val="00477E21"/>
    <w:rsid w:val="00480EEB"/>
    <w:rsid w:val="00482CB7"/>
    <w:rsid w:val="0048312C"/>
    <w:rsid w:val="00483436"/>
    <w:rsid w:val="00483AAF"/>
    <w:rsid w:val="00483C8D"/>
    <w:rsid w:val="004846BD"/>
    <w:rsid w:val="004849FE"/>
    <w:rsid w:val="0048596E"/>
    <w:rsid w:val="00486CF7"/>
    <w:rsid w:val="00487308"/>
    <w:rsid w:val="00487AFB"/>
    <w:rsid w:val="00490AB6"/>
    <w:rsid w:val="00491011"/>
    <w:rsid w:val="00492992"/>
    <w:rsid w:val="004936A3"/>
    <w:rsid w:val="00493AB8"/>
    <w:rsid w:val="00493BCE"/>
    <w:rsid w:val="0049448A"/>
    <w:rsid w:val="00494CA4"/>
    <w:rsid w:val="00495014"/>
    <w:rsid w:val="0049661C"/>
    <w:rsid w:val="00496AD1"/>
    <w:rsid w:val="004A10F8"/>
    <w:rsid w:val="004A2045"/>
    <w:rsid w:val="004A2523"/>
    <w:rsid w:val="004A411B"/>
    <w:rsid w:val="004A5BD4"/>
    <w:rsid w:val="004A75ED"/>
    <w:rsid w:val="004A7F2B"/>
    <w:rsid w:val="004B0D27"/>
    <w:rsid w:val="004B2A57"/>
    <w:rsid w:val="004B3F37"/>
    <w:rsid w:val="004B54D6"/>
    <w:rsid w:val="004C2FAB"/>
    <w:rsid w:val="004C3F11"/>
    <w:rsid w:val="004C5B40"/>
    <w:rsid w:val="004C5C47"/>
    <w:rsid w:val="004D022F"/>
    <w:rsid w:val="004D0E54"/>
    <w:rsid w:val="004D3B00"/>
    <w:rsid w:val="004D4118"/>
    <w:rsid w:val="004D6E44"/>
    <w:rsid w:val="004E17F7"/>
    <w:rsid w:val="004E1E7C"/>
    <w:rsid w:val="004E1F7B"/>
    <w:rsid w:val="004E2716"/>
    <w:rsid w:val="004E307F"/>
    <w:rsid w:val="004E3264"/>
    <w:rsid w:val="004E495A"/>
    <w:rsid w:val="004E4E05"/>
    <w:rsid w:val="004E5157"/>
    <w:rsid w:val="004E6BD8"/>
    <w:rsid w:val="004E6D06"/>
    <w:rsid w:val="004E6DE5"/>
    <w:rsid w:val="004E747B"/>
    <w:rsid w:val="004F144F"/>
    <w:rsid w:val="004F156C"/>
    <w:rsid w:val="004F26CF"/>
    <w:rsid w:val="004F40D7"/>
    <w:rsid w:val="004F4FF9"/>
    <w:rsid w:val="004F58EC"/>
    <w:rsid w:val="004F5CC0"/>
    <w:rsid w:val="004F64B2"/>
    <w:rsid w:val="00501012"/>
    <w:rsid w:val="005017F6"/>
    <w:rsid w:val="00502410"/>
    <w:rsid w:val="00502D35"/>
    <w:rsid w:val="00502E4C"/>
    <w:rsid w:val="0050383C"/>
    <w:rsid w:val="00504A6F"/>
    <w:rsid w:val="005056D0"/>
    <w:rsid w:val="00505BDF"/>
    <w:rsid w:val="00506065"/>
    <w:rsid w:val="00510570"/>
    <w:rsid w:val="00510706"/>
    <w:rsid w:val="00511C99"/>
    <w:rsid w:val="00512660"/>
    <w:rsid w:val="00513A95"/>
    <w:rsid w:val="00515AC1"/>
    <w:rsid w:val="00515CC2"/>
    <w:rsid w:val="0051612F"/>
    <w:rsid w:val="005161F1"/>
    <w:rsid w:val="0052048C"/>
    <w:rsid w:val="0052182E"/>
    <w:rsid w:val="00521B4B"/>
    <w:rsid w:val="00522A1A"/>
    <w:rsid w:val="00523E5C"/>
    <w:rsid w:val="00524383"/>
    <w:rsid w:val="0052441B"/>
    <w:rsid w:val="00524A6C"/>
    <w:rsid w:val="005270FE"/>
    <w:rsid w:val="00527A13"/>
    <w:rsid w:val="00530531"/>
    <w:rsid w:val="005318CB"/>
    <w:rsid w:val="00532167"/>
    <w:rsid w:val="00533220"/>
    <w:rsid w:val="00533B29"/>
    <w:rsid w:val="005347BF"/>
    <w:rsid w:val="00536FB5"/>
    <w:rsid w:val="0053737A"/>
    <w:rsid w:val="00542349"/>
    <w:rsid w:val="005423CD"/>
    <w:rsid w:val="00542B4D"/>
    <w:rsid w:val="0054325B"/>
    <w:rsid w:val="00543D46"/>
    <w:rsid w:val="005453B3"/>
    <w:rsid w:val="0054627A"/>
    <w:rsid w:val="005468E8"/>
    <w:rsid w:val="0054694F"/>
    <w:rsid w:val="005472AB"/>
    <w:rsid w:val="00547A0D"/>
    <w:rsid w:val="00550367"/>
    <w:rsid w:val="0055073B"/>
    <w:rsid w:val="005509AE"/>
    <w:rsid w:val="005514D1"/>
    <w:rsid w:val="005518CF"/>
    <w:rsid w:val="005524A9"/>
    <w:rsid w:val="005527E6"/>
    <w:rsid w:val="00552A42"/>
    <w:rsid w:val="00552DEC"/>
    <w:rsid w:val="005557DE"/>
    <w:rsid w:val="0055660A"/>
    <w:rsid w:val="00556F2B"/>
    <w:rsid w:val="00560CE6"/>
    <w:rsid w:val="00561233"/>
    <w:rsid w:val="005612A1"/>
    <w:rsid w:val="00561CEA"/>
    <w:rsid w:val="005648AE"/>
    <w:rsid w:val="005659E2"/>
    <w:rsid w:val="00565BB9"/>
    <w:rsid w:val="00565E42"/>
    <w:rsid w:val="0056613E"/>
    <w:rsid w:val="00567A98"/>
    <w:rsid w:val="00567BC6"/>
    <w:rsid w:val="00567DE8"/>
    <w:rsid w:val="00570211"/>
    <w:rsid w:val="00570899"/>
    <w:rsid w:val="005733D7"/>
    <w:rsid w:val="00573720"/>
    <w:rsid w:val="00573807"/>
    <w:rsid w:val="00573BCA"/>
    <w:rsid w:val="00574CA5"/>
    <w:rsid w:val="0057679E"/>
    <w:rsid w:val="00576BEE"/>
    <w:rsid w:val="00576FD9"/>
    <w:rsid w:val="00580A28"/>
    <w:rsid w:val="00580D15"/>
    <w:rsid w:val="00580EF0"/>
    <w:rsid w:val="0058148E"/>
    <w:rsid w:val="005816DB"/>
    <w:rsid w:val="00582F4C"/>
    <w:rsid w:val="00584190"/>
    <w:rsid w:val="00584560"/>
    <w:rsid w:val="005846EB"/>
    <w:rsid w:val="00584BBE"/>
    <w:rsid w:val="00586031"/>
    <w:rsid w:val="00586D4C"/>
    <w:rsid w:val="0058721E"/>
    <w:rsid w:val="00587F7D"/>
    <w:rsid w:val="005902A9"/>
    <w:rsid w:val="00590B47"/>
    <w:rsid w:val="00593E64"/>
    <w:rsid w:val="0059438A"/>
    <w:rsid w:val="00594F40"/>
    <w:rsid w:val="0059612A"/>
    <w:rsid w:val="005965AF"/>
    <w:rsid w:val="00597EF0"/>
    <w:rsid w:val="005A1093"/>
    <w:rsid w:val="005A203A"/>
    <w:rsid w:val="005A4467"/>
    <w:rsid w:val="005A4C5A"/>
    <w:rsid w:val="005A5C53"/>
    <w:rsid w:val="005A6308"/>
    <w:rsid w:val="005A6398"/>
    <w:rsid w:val="005A6535"/>
    <w:rsid w:val="005A65D5"/>
    <w:rsid w:val="005A7928"/>
    <w:rsid w:val="005A793B"/>
    <w:rsid w:val="005A7EEB"/>
    <w:rsid w:val="005B5382"/>
    <w:rsid w:val="005B5F74"/>
    <w:rsid w:val="005B612B"/>
    <w:rsid w:val="005C191F"/>
    <w:rsid w:val="005C225B"/>
    <w:rsid w:val="005C2B13"/>
    <w:rsid w:val="005C4B1F"/>
    <w:rsid w:val="005C70FE"/>
    <w:rsid w:val="005C73A1"/>
    <w:rsid w:val="005D232F"/>
    <w:rsid w:val="005D3394"/>
    <w:rsid w:val="005D5E82"/>
    <w:rsid w:val="005D7B41"/>
    <w:rsid w:val="005E0FE3"/>
    <w:rsid w:val="005E24A4"/>
    <w:rsid w:val="005E4368"/>
    <w:rsid w:val="005E56B4"/>
    <w:rsid w:val="005F0471"/>
    <w:rsid w:val="005F07F5"/>
    <w:rsid w:val="005F617E"/>
    <w:rsid w:val="005F7336"/>
    <w:rsid w:val="006000CE"/>
    <w:rsid w:val="006006E3"/>
    <w:rsid w:val="006010FF"/>
    <w:rsid w:val="00601729"/>
    <w:rsid w:val="00602146"/>
    <w:rsid w:val="00605260"/>
    <w:rsid w:val="00605873"/>
    <w:rsid w:val="006111ED"/>
    <w:rsid w:val="00611E30"/>
    <w:rsid w:val="006120BB"/>
    <w:rsid w:val="00612569"/>
    <w:rsid w:val="006125FB"/>
    <w:rsid w:val="00613550"/>
    <w:rsid w:val="006136D9"/>
    <w:rsid w:val="0061437C"/>
    <w:rsid w:val="00615815"/>
    <w:rsid w:val="00616204"/>
    <w:rsid w:val="00616456"/>
    <w:rsid w:val="006164AB"/>
    <w:rsid w:val="0061692B"/>
    <w:rsid w:val="00616B91"/>
    <w:rsid w:val="00616E2D"/>
    <w:rsid w:val="00621EC7"/>
    <w:rsid w:val="0062313D"/>
    <w:rsid w:val="006233A6"/>
    <w:rsid w:val="006237C5"/>
    <w:rsid w:val="00623D4B"/>
    <w:rsid w:val="006255FF"/>
    <w:rsid w:val="0062623A"/>
    <w:rsid w:val="0062797A"/>
    <w:rsid w:val="00627EC9"/>
    <w:rsid w:val="0063065B"/>
    <w:rsid w:val="00631444"/>
    <w:rsid w:val="00631B19"/>
    <w:rsid w:val="00631BDD"/>
    <w:rsid w:val="006326AB"/>
    <w:rsid w:val="006343FF"/>
    <w:rsid w:val="006345D8"/>
    <w:rsid w:val="00634C39"/>
    <w:rsid w:val="006353FC"/>
    <w:rsid w:val="006357F1"/>
    <w:rsid w:val="00636D7A"/>
    <w:rsid w:val="00637A34"/>
    <w:rsid w:val="00640456"/>
    <w:rsid w:val="00640A4E"/>
    <w:rsid w:val="00641320"/>
    <w:rsid w:val="0064362C"/>
    <w:rsid w:val="00644393"/>
    <w:rsid w:val="00644963"/>
    <w:rsid w:val="00651473"/>
    <w:rsid w:val="006516E6"/>
    <w:rsid w:val="00651C17"/>
    <w:rsid w:val="00654607"/>
    <w:rsid w:val="00656CC5"/>
    <w:rsid w:val="006610D7"/>
    <w:rsid w:val="00661EE8"/>
    <w:rsid w:val="00666E0C"/>
    <w:rsid w:val="006678E4"/>
    <w:rsid w:val="00671120"/>
    <w:rsid w:val="0067158A"/>
    <w:rsid w:val="006734C6"/>
    <w:rsid w:val="00673538"/>
    <w:rsid w:val="006736F8"/>
    <w:rsid w:val="006743D1"/>
    <w:rsid w:val="00675186"/>
    <w:rsid w:val="00675A17"/>
    <w:rsid w:val="00676860"/>
    <w:rsid w:val="00680CDA"/>
    <w:rsid w:val="00681265"/>
    <w:rsid w:val="006816F4"/>
    <w:rsid w:val="0068244A"/>
    <w:rsid w:val="00682CC3"/>
    <w:rsid w:val="00684EB5"/>
    <w:rsid w:val="0068522C"/>
    <w:rsid w:val="00685AA7"/>
    <w:rsid w:val="00687507"/>
    <w:rsid w:val="0069021D"/>
    <w:rsid w:val="0069032E"/>
    <w:rsid w:val="006908AE"/>
    <w:rsid w:val="00691D5C"/>
    <w:rsid w:val="00693063"/>
    <w:rsid w:val="00694566"/>
    <w:rsid w:val="00695BD5"/>
    <w:rsid w:val="006964B2"/>
    <w:rsid w:val="0069727B"/>
    <w:rsid w:val="006A07D6"/>
    <w:rsid w:val="006A29D9"/>
    <w:rsid w:val="006A2F52"/>
    <w:rsid w:val="006A34DB"/>
    <w:rsid w:val="006A3B04"/>
    <w:rsid w:val="006A4145"/>
    <w:rsid w:val="006A524A"/>
    <w:rsid w:val="006A5BC4"/>
    <w:rsid w:val="006A6742"/>
    <w:rsid w:val="006B2DB2"/>
    <w:rsid w:val="006B350A"/>
    <w:rsid w:val="006B4455"/>
    <w:rsid w:val="006B5473"/>
    <w:rsid w:val="006B6055"/>
    <w:rsid w:val="006B6551"/>
    <w:rsid w:val="006B794E"/>
    <w:rsid w:val="006B7F97"/>
    <w:rsid w:val="006C054D"/>
    <w:rsid w:val="006C07EE"/>
    <w:rsid w:val="006C3F61"/>
    <w:rsid w:val="006C4DCB"/>
    <w:rsid w:val="006D095D"/>
    <w:rsid w:val="006D1428"/>
    <w:rsid w:val="006D21E9"/>
    <w:rsid w:val="006D2B01"/>
    <w:rsid w:val="006D2C89"/>
    <w:rsid w:val="006D2F58"/>
    <w:rsid w:val="006D525C"/>
    <w:rsid w:val="006D603E"/>
    <w:rsid w:val="006E063C"/>
    <w:rsid w:val="006E0D86"/>
    <w:rsid w:val="006E1CA2"/>
    <w:rsid w:val="006E384C"/>
    <w:rsid w:val="006E3D70"/>
    <w:rsid w:val="006F0433"/>
    <w:rsid w:val="006F11BD"/>
    <w:rsid w:val="006F24CB"/>
    <w:rsid w:val="006F390C"/>
    <w:rsid w:val="006F435A"/>
    <w:rsid w:val="006F5FEE"/>
    <w:rsid w:val="006F6BF0"/>
    <w:rsid w:val="00700BA2"/>
    <w:rsid w:val="007014B0"/>
    <w:rsid w:val="00702131"/>
    <w:rsid w:val="00702424"/>
    <w:rsid w:val="007042A9"/>
    <w:rsid w:val="0070640D"/>
    <w:rsid w:val="007068DC"/>
    <w:rsid w:val="00706EBD"/>
    <w:rsid w:val="0071177B"/>
    <w:rsid w:val="007127A0"/>
    <w:rsid w:val="00713C37"/>
    <w:rsid w:val="00714D10"/>
    <w:rsid w:val="00715BC2"/>
    <w:rsid w:val="00715F7D"/>
    <w:rsid w:val="0071627B"/>
    <w:rsid w:val="00716B01"/>
    <w:rsid w:val="007171D7"/>
    <w:rsid w:val="00720E66"/>
    <w:rsid w:val="00721AA4"/>
    <w:rsid w:val="00721EDA"/>
    <w:rsid w:val="007228E1"/>
    <w:rsid w:val="007236C6"/>
    <w:rsid w:val="00723869"/>
    <w:rsid w:val="00723C69"/>
    <w:rsid w:val="007264D8"/>
    <w:rsid w:val="00727B7D"/>
    <w:rsid w:val="00732A63"/>
    <w:rsid w:val="0073462A"/>
    <w:rsid w:val="00736C2A"/>
    <w:rsid w:val="00736CFF"/>
    <w:rsid w:val="007410CC"/>
    <w:rsid w:val="00741C8C"/>
    <w:rsid w:val="00742269"/>
    <w:rsid w:val="0074229F"/>
    <w:rsid w:val="0074393F"/>
    <w:rsid w:val="007463BF"/>
    <w:rsid w:val="007467E9"/>
    <w:rsid w:val="00746F2E"/>
    <w:rsid w:val="00750002"/>
    <w:rsid w:val="00750318"/>
    <w:rsid w:val="00752B45"/>
    <w:rsid w:val="00753783"/>
    <w:rsid w:val="00753B94"/>
    <w:rsid w:val="00754612"/>
    <w:rsid w:val="0075498D"/>
    <w:rsid w:val="007554B2"/>
    <w:rsid w:val="0075592B"/>
    <w:rsid w:val="00755FA9"/>
    <w:rsid w:val="00756165"/>
    <w:rsid w:val="00757114"/>
    <w:rsid w:val="00757BC8"/>
    <w:rsid w:val="00760099"/>
    <w:rsid w:val="00761CE2"/>
    <w:rsid w:val="00762682"/>
    <w:rsid w:val="00764394"/>
    <w:rsid w:val="007649AE"/>
    <w:rsid w:val="00767B35"/>
    <w:rsid w:val="00770BE5"/>
    <w:rsid w:val="0077252D"/>
    <w:rsid w:val="00772AFA"/>
    <w:rsid w:val="007736C5"/>
    <w:rsid w:val="007737C9"/>
    <w:rsid w:val="00777116"/>
    <w:rsid w:val="007827B0"/>
    <w:rsid w:val="00782DFB"/>
    <w:rsid w:val="0078376E"/>
    <w:rsid w:val="007839E7"/>
    <w:rsid w:val="00784936"/>
    <w:rsid w:val="00784CE9"/>
    <w:rsid w:val="00784EB5"/>
    <w:rsid w:val="00787D9D"/>
    <w:rsid w:val="00790837"/>
    <w:rsid w:val="00792E1F"/>
    <w:rsid w:val="007933EC"/>
    <w:rsid w:val="00793C87"/>
    <w:rsid w:val="0079437D"/>
    <w:rsid w:val="00794D9C"/>
    <w:rsid w:val="00795369"/>
    <w:rsid w:val="00795D9D"/>
    <w:rsid w:val="00795E3E"/>
    <w:rsid w:val="007965D6"/>
    <w:rsid w:val="00796EB6"/>
    <w:rsid w:val="0079724B"/>
    <w:rsid w:val="007978D6"/>
    <w:rsid w:val="007A09DF"/>
    <w:rsid w:val="007A0F88"/>
    <w:rsid w:val="007A28D7"/>
    <w:rsid w:val="007A4645"/>
    <w:rsid w:val="007A6D63"/>
    <w:rsid w:val="007A73B1"/>
    <w:rsid w:val="007B01BF"/>
    <w:rsid w:val="007B0571"/>
    <w:rsid w:val="007B4509"/>
    <w:rsid w:val="007B459E"/>
    <w:rsid w:val="007B4838"/>
    <w:rsid w:val="007C0033"/>
    <w:rsid w:val="007C1967"/>
    <w:rsid w:val="007C1B69"/>
    <w:rsid w:val="007C4406"/>
    <w:rsid w:val="007C7759"/>
    <w:rsid w:val="007D08F0"/>
    <w:rsid w:val="007D0CC8"/>
    <w:rsid w:val="007D0E91"/>
    <w:rsid w:val="007D11B6"/>
    <w:rsid w:val="007D209B"/>
    <w:rsid w:val="007D394F"/>
    <w:rsid w:val="007D3C3E"/>
    <w:rsid w:val="007D3D6E"/>
    <w:rsid w:val="007D40DA"/>
    <w:rsid w:val="007D6193"/>
    <w:rsid w:val="007E097B"/>
    <w:rsid w:val="007E0D51"/>
    <w:rsid w:val="007E14F3"/>
    <w:rsid w:val="007E28FD"/>
    <w:rsid w:val="007E4081"/>
    <w:rsid w:val="007E410C"/>
    <w:rsid w:val="007E4611"/>
    <w:rsid w:val="007E4DA9"/>
    <w:rsid w:val="007E638D"/>
    <w:rsid w:val="007E70FE"/>
    <w:rsid w:val="007E7CE8"/>
    <w:rsid w:val="007F21C8"/>
    <w:rsid w:val="007F283E"/>
    <w:rsid w:val="007F2E53"/>
    <w:rsid w:val="007F42F2"/>
    <w:rsid w:val="007F4796"/>
    <w:rsid w:val="007F4EC7"/>
    <w:rsid w:val="007F5539"/>
    <w:rsid w:val="007F61E4"/>
    <w:rsid w:val="008009BB"/>
    <w:rsid w:val="0080204A"/>
    <w:rsid w:val="00804ED6"/>
    <w:rsid w:val="00805182"/>
    <w:rsid w:val="008053A0"/>
    <w:rsid w:val="00807135"/>
    <w:rsid w:val="00807F5B"/>
    <w:rsid w:val="008117C5"/>
    <w:rsid w:val="008133DA"/>
    <w:rsid w:val="00813A92"/>
    <w:rsid w:val="00813B1E"/>
    <w:rsid w:val="0081671E"/>
    <w:rsid w:val="00817847"/>
    <w:rsid w:val="00817DEE"/>
    <w:rsid w:val="00820821"/>
    <w:rsid w:val="008212CD"/>
    <w:rsid w:val="008217F9"/>
    <w:rsid w:val="0082651F"/>
    <w:rsid w:val="00826A9D"/>
    <w:rsid w:val="008308F6"/>
    <w:rsid w:val="00831720"/>
    <w:rsid w:val="00832538"/>
    <w:rsid w:val="00833D27"/>
    <w:rsid w:val="0083597D"/>
    <w:rsid w:val="00835A8A"/>
    <w:rsid w:val="00835DE3"/>
    <w:rsid w:val="00837B62"/>
    <w:rsid w:val="008411E4"/>
    <w:rsid w:val="008418A6"/>
    <w:rsid w:val="008434C1"/>
    <w:rsid w:val="00844849"/>
    <w:rsid w:val="0084564D"/>
    <w:rsid w:val="008476B4"/>
    <w:rsid w:val="008531B5"/>
    <w:rsid w:val="008535FE"/>
    <w:rsid w:val="00853F0B"/>
    <w:rsid w:val="00854EA6"/>
    <w:rsid w:val="0085527A"/>
    <w:rsid w:val="0085528D"/>
    <w:rsid w:val="00855E6B"/>
    <w:rsid w:val="0085754A"/>
    <w:rsid w:val="00861352"/>
    <w:rsid w:val="0086291D"/>
    <w:rsid w:val="00864828"/>
    <w:rsid w:val="00865107"/>
    <w:rsid w:val="008661DE"/>
    <w:rsid w:val="00867186"/>
    <w:rsid w:val="00872424"/>
    <w:rsid w:val="00872C28"/>
    <w:rsid w:val="008744B0"/>
    <w:rsid w:val="00875B75"/>
    <w:rsid w:val="00876AAC"/>
    <w:rsid w:val="0088190B"/>
    <w:rsid w:val="00881B73"/>
    <w:rsid w:val="00885219"/>
    <w:rsid w:val="008902A4"/>
    <w:rsid w:val="00890609"/>
    <w:rsid w:val="00892433"/>
    <w:rsid w:val="00892B30"/>
    <w:rsid w:val="00892F04"/>
    <w:rsid w:val="008936FA"/>
    <w:rsid w:val="00894327"/>
    <w:rsid w:val="00894F58"/>
    <w:rsid w:val="00895679"/>
    <w:rsid w:val="00895860"/>
    <w:rsid w:val="008A01F6"/>
    <w:rsid w:val="008A1564"/>
    <w:rsid w:val="008A1BF7"/>
    <w:rsid w:val="008A1C46"/>
    <w:rsid w:val="008A2E9A"/>
    <w:rsid w:val="008A3032"/>
    <w:rsid w:val="008A3C89"/>
    <w:rsid w:val="008A65A7"/>
    <w:rsid w:val="008B1FD5"/>
    <w:rsid w:val="008B28BF"/>
    <w:rsid w:val="008B2F76"/>
    <w:rsid w:val="008B673E"/>
    <w:rsid w:val="008B69D6"/>
    <w:rsid w:val="008B6E9E"/>
    <w:rsid w:val="008B76CF"/>
    <w:rsid w:val="008C021D"/>
    <w:rsid w:val="008C089F"/>
    <w:rsid w:val="008C12D9"/>
    <w:rsid w:val="008C1638"/>
    <w:rsid w:val="008C27CD"/>
    <w:rsid w:val="008C27CE"/>
    <w:rsid w:val="008C304E"/>
    <w:rsid w:val="008C462C"/>
    <w:rsid w:val="008C4F3C"/>
    <w:rsid w:val="008C5FA2"/>
    <w:rsid w:val="008C62DB"/>
    <w:rsid w:val="008C685A"/>
    <w:rsid w:val="008D0776"/>
    <w:rsid w:val="008D169B"/>
    <w:rsid w:val="008D1920"/>
    <w:rsid w:val="008D1E6D"/>
    <w:rsid w:val="008D2909"/>
    <w:rsid w:val="008D4345"/>
    <w:rsid w:val="008D5996"/>
    <w:rsid w:val="008D5BEB"/>
    <w:rsid w:val="008D70F3"/>
    <w:rsid w:val="008D7BA5"/>
    <w:rsid w:val="008E02A9"/>
    <w:rsid w:val="008E1DE7"/>
    <w:rsid w:val="008E21E9"/>
    <w:rsid w:val="008E2227"/>
    <w:rsid w:val="008E297A"/>
    <w:rsid w:val="008E46A4"/>
    <w:rsid w:val="008E4B35"/>
    <w:rsid w:val="008E5B92"/>
    <w:rsid w:val="008E6876"/>
    <w:rsid w:val="008E7120"/>
    <w:rsid w:val="008E7E9D"/>
    <w:rsid w:val="008F05F9"/>
    <w:rsid w:val="008F1459"/>
    <w:rsid w:val="008F1E1F"/>
    <w:rsid w:val="008F2E5D"/>
    <w:rsid w:val="008F4BA0"/>
    <w:rsid w:val="008F57EE"/>
    <w:rsid w:val="008F6708"/>
    <w:rsid w:val="008F75DE"/>
    <w:rsid w:val="008F7E56"/>
    <w:rsid w:val="009000D7"/>
    <w:rsid w:val="0090084B"/>
    <w:rsid w:val="00902330"/>
    <w:rsid w:val="00902881"/>
    <w:rsid w:val="00903C80"/>
    <w:rsid w:val="00904F3E"/>
    <w:rsid w:val="00905539"/>
    <w:rsid w:val="0090699E"/>
    <w:rsid w:val="009107CE"/>
    <w:rsid w:val="0091216A"/>
    <w:rsid w:val="009122C5"/>
    <w:rsid w:val="009134EB"/>
    <w:rsid w:val="00913EE1"/>
    <w:rsid w:val="0091484A"/>
    <w:rsid w:val="00915545"/>
    <w:rsid w:val="009168A7"/>
    <w:rsid w:val="00916AE7"/>
    <w:rsid w:val="009170F0"/>
    <w:rsid w:val="00917A52"/>
    <w:rsid w:val="00920B74"/>
    <w:rsid w:val="0092125B"/>
    <w:rsid w:val="00921FB5"/>
    <w:rsid w:val="0092253D"/>
    <w:rsid w:val="0092348F"/>
    <w:rsid w:val="009269EC"/>
    <w:rsid w:val="0093063B"/>
    <w:rsid w:val="00931ECA"/>
    <w:rsid w:val="00933AF6"/>
    <w:rsid w:val="00934296"/>
    <w:rsid w:val="00934549"/>
    <w:rsid w:val="0093675B"/>
    <w:rsid w:val="009377D5"/>
    <w:rsid w:val="00943503"/>
    <w:rsid w:val="00943CFC"/>
    <w:rsid w:val="00944D4D"/>
    <w:rsid w:val="00945B53"/>
    <w:rsid w:val="009467E8"/>
    <w:rsid w:val="009471F6"/>
    <w:rsid w:val="00950164"/>
    <w:rsid w:val="00951E40"/>
    <w:rsid w:val="00954397"/>
    <w:rsid w:val="00954FE3"/>
    <w:rsid w:val="009564C9"/>
    <w:rsid w:val="00956B4D"/>
    <w:rsid w:val="009573F4"/>
    <w:rsid w:val="009578EB"/>
    <w:rsid w:val="00957938"/>
    <w:rsid w:val="0095798A"/>
    <w:rsid w:val="00957F42"/>
    <w:rsid w:val="00960B1C"/>
    <w:rsid w:val="00960E8E"/>
    <w:rsid w:val="009612C6"/>
    <w:rsid w:val="0096297F"/>
    <w:rsid w:val="009633E7"/>
    <w:rsid w:val="00964638"/>
    <w:rsid w:val="00965E2E"/>
    <w:rsid w:val="00966333"/>
    <w:rsid w:val="00970C1C"/>
    <w:rsid w:val="00972E1A"/>
    <w:rsid w:val="00972E82"/>
    <w:rsid w:val="00974403"/>
    <w:rsid w:val="009752A4"/>
    <w:rsid w:val="0097682D"/>
    <w:rsid w:val="009772F1"/>
    <w:rsid w:val="009831E9"/>
    <w:rsid w:val="009836CB"/>
    <w:rsid w:val="00983748"/>
    <w:rsid w:val="00984300"/>
    <w:rsid w:val="00984A4F"/>
    <w:rsid w:val="009850BC"/>
    <w:rsid w:val="009851E8"/>
    <w:rsid w:val="00986294"/>
    <w:rsid w:val="00987531"/>
    <w:rsid w:val="0098768B"/>
    <w:rsid w:val="0099018D"/>
    <w:rsid w:val="009912AA"/>
    <w:rsid w:val="009912FD"/>
    <w:rsid w:val="00991527"/>
    <w:rsid w:val="00991AEA"/>
    <w:rsid w:val="00991F86"/>
    <w:rsid w:val="00992B30"/>
    <w:rsid w:val="00993571"/>
    <w:rsid w:val="00993C84"/>
    <w:rsid w:val="009947D6"/>
    <w:rsid w:val="009958F6"/>
    <w:rsid w:val="00996DE5"/>
    <w:rsid w:val="00997056"/>
    <w:rsid w:val="0099738C"/>
    <w:rsid w:val="009A0C05"/>
    <w:rsid w:val="009A0D0A"/>
    <w:rsid w:val="009A0EB3"/>
    <w:rsid w:val="009A3720"/>
    <w:rsid w:val="009A3A04"/>
    <w:rsid w:val="009A41AB"/>
    <w:rsid w:val="009A4EC0"/>
    <w:rsid w:val="009A6D77"/>
    <w:rsid w:val="009A7885"/>
    <w:rsid w:val="009A7901"/>
    <w:rsid w:val="009B0B72"/>
    <w:rsid w:val="009B20A9"/>
    <w:rsid w:val="009B3930"/>
    <w:rsid w:val="009B4F12"/>
    <w:rsid w:val="009B5C38"/>
    <w:rsid w:val="009B766C"/>
    <w:rsid w:val="009B7CEE"/>
    <w:rsid w:val="009C0CBA"/>
    <w:rsid w:val="009C124B"/>
    <w:rsid w:val="009C155D"/>
    <w:rsid w:val="009C165C"/>
    <w:rsid w:val="009C244B"/>
    <w:rsid w:val="009C2740"/>
    <w:rsid w:val="009C2E1E"/>
    <w:rsid w:val="009C2E26"/>
    <w:rsid w:val="009C3FD3"/>
    <w:rsid w:val="009C59FB"/>
    <w:rsid w:val="009C6C76"/>
    <w:rsid w:val="009C7390"/>
    <w:rsid w:val="009D19D4"/>
    <w:rsid w:val="009D2627"/>
    <w:rsid w:val="009E06E5"/>
    <w:rsid w:val="009E0BF3"/>
    <w:rsid w:val="009E19EC"/>
    <w:rsid w:val="009E1CCE"/>
    <w:rsid w:val="009E1DF8"/>
    <w:rsid w:val="009E2B0F"/>
    <w:rsid w:val="009E3C17"/>
    <w:rsid w:val="009E4633"/>
    <w:rsid w:val="009E5031"/>
    <w:rsid w:val="009E53A2"/>
    <w:rsid w:val="009E6975"/>
    <w:rsid w:val="009E73AE"/>
    <w:rsid w:val="009F1D6A"/>
    <w:rsid w:val="009F2C5B"/>
    <w:rsid w:val="009F395E"/>
    <w:rsid w:val="009F4036"/>
    <w:rsid w:val="009F5433"/>
    <w:rsid w:val="009F5E5A"/>
    <w:rsid w:val="009F69FB"/>
    <w:rsid w:val="00A002B1"/>
    <w:rsid w:val="00A04A7C"/>
    <w:rsid w:val="00A05573"/>
    <w:rsid w:val="00A0649A"/>
    <w:rsid w:val="00A07607"/>
    <w:rsid w:val="00A07BA9"/>
    <w:rsid w:val="00A109F2"/>
    <w:rsid w:val="00A11667"/>
    <w:rsid w:val="00A12B19"/>
    <w:rsid w:val="00A146C7"/>
    <w:rsid w:val="00A158C9"/>
    <w:rsid w:val="00A16158"/>
    <w:rsid w:val="00A16313"/>
    <w:rsid w:val="00A21559"/>
    <w:rsid w:val="00A231BA"/>
    <w:rsid w:val="00A23E40"/>
    <w:rsid w:val="00A26D0C"/>
    <w:rsid w:val="00A2716F"/>
    <w:rsid w:val="00A3229E"/>
    <w:rsid w:val="00A32E24"/>
    <w:rsid w:val="00A33685"/>
    <w:rsid w:val="00A34139"/>
    <w:rsid w:val="00A34559"/>
    <w:rsid w:val="00A359D8"/>
    <w:rsid w:val="00A35E2C"/>
    <w:rsid w:val="00A36F31"/>
    <w:rsid w:val="00A37792"/>
    <w:rsid w:val="00A4007F"/>
    <w:rsid w:val="00A43784"/>
    <w:rsid w:val="00A44ABE"/>
    <w:rsid w:val="00A45D20"/>
    <w:rsid w:val="00A4694C"/>
    <w:rsid w:val="00A50D2B"/>
    <w:rsid w:val="00A52A78"/>
    <w:rsid w:val="00A5530C"/>
    <w:rsid w:val="00A56089"/>
    <w:rsid w:val="00A567A7"/>
    <w:rsid w:val="00A62E14"/>
    <w:rsid w:val="00A63B5A"/>
    <w:rsid w:val="00A63B7C"/>
    <w:rsid w:val="00A64098"/>
    <w:rsid w:val="00A66EED"/>
    <w:rsid w:val="00A67433"/>
    <w:rsid w:val="00A67A46"/>
    <w:rsid w:val="00A70217"/>
    <w:rsid w:val="00A7175A"/>
    <w:rsid w:val="00A71E51"/>
    <w:rsid w:val="00A72367"/>
    <w:rsid w:val="00A73BC0"/>
    <w:rsid w:val="00A73CFB"/>
    <w:rsid w:val="00A758A2"/>
    <w:rsid w:val="00A76D20"/>
    <w:rsid w:val="00A77A45"/>
    <w:rsid w:val="00A8098C"/>
    <w:rsid w:val="00A80F98"/>
    <w:rsid w:val="00A8235C"/>
    <w:rsid w:val="00A82BDC"/>
    <w:rsid w:val="00A852E3"/>
    <w:rsid w:val="00A85324"/>
    <w:rsid w:val="00A8741D"/>
    <w:rsid w:val="00A9135E"/>
    <w:rsid w:val="00A91575"/>
    <w:rsid w:val="00A9341A"/>
    <w:rsid w:val="00A93FAD"/>
    <w:rsid w:val="00A946A6"/>
    <w:rsid w:val="00A94950"/>
    <w:rsid w:val="00A955E6"/>
    <w:rsid w:val="00A95C29"/>
    <w:rsid w:val="00A96227"/>
    <w:rsid w:val="00A9693E"/>
    <w:rsid w:val="00A977AE"/>
    <w:rsid w:val="00AA1858"/>
    <w:rsid w:val="00AA3ABC"/>
    <w:rsid w:val="00AA53F6"/>
    <w:rsid w:val="00AA5D89"/>
    <w:rsid w:val="00AA60D6"/>
    <w:rsid w:val="00AA61BA"/>
    <w:rsid w:val="00AA6A16"/>
    <w:rsid w:val="00AA7CBF"/>
    <w:rsid w:val="00AB085F"/>
    <w:rsid w:val="00AB0F8B"/>
    <w:rsid w:val="00AB14BA"/>
    <w:rsid w:val="00AB1938"/>
    <w:rsid w:val="00AB29C1"/>
    <w:rsid w:val="00AB3D36"/>
    <w:rsid w:val="00AB442B"/>
    <w:rsid w:val="00AB7F9E"/>
    <w:rsid w:val="00AC3391"/>
    <w:rsid w:val="00AC340D"/>
    <w:rsid w:val="00AC4933"/>
    <w:rsid w:val="00AC49C6"/>
    <w:rsid w:val="00AC4B24"/>
    <w:rsid w:val="00AC7988"/>
    <w:rsid w:val="00AC7C37"/>
    <w:rsid w:val="00AC7C52"/>
    <w:rsid w:val="00AD0199"/>
    <w:rsid w:val="00AD21D8"/>
    <w:rsid w:val="00AD26B7"/>
    <w:rsid w:val="00AD2E8A"/>
    <w:rsid w:val="00AD2EED"/>
    <w:rsid w:val="00AD3A1B"/>
    <w:rsid w:val="00AD75F4"/>
    <w:rsid w:val="00AD7BC3"/>
    <w:rsid w:val="00AE0F80"/>
    <w:rsid w:val="00AE2A3E"/>
    <w:rsid w:val="00AE52CB"/>
    <w:rsid w:val="00AE5B9D"/>
    <w:rsid w:val="00AE63BF"/>
    <w:rsid w:val="00AE688E"/>
    <w:rsid w:val="00AE6E28"/>
    <w:rsid w:val="00AE7245"/>
    <w:rsid w:val="00AF07D1"/>
    <w:rsid w:val="00AF14E7"/>
    <w:rsid w:val="00AF189C"/>
    <w:rsid w:val="00AF2381"/>
    <w:rsid w:val="00AF4A9E"/>
    <w:rsid w:val="00AF4CF4"/>
    <w:rsid w:val="00AF573A"/>
    <w:rsid w:val="00AF655B"/>
    <w:rsid w:val="00AF6CC2"/>
    <w:rsid w:val="00AF6E63"/>
    <w:rsid w:val="00B0021E"/>
    <w:rsid w:val="00B01CF9"/>
    <w:rsid w:val="00B03E23"/>
    <w:rsid w:val="00B05081"/>
    <w:rsid w:val="00B0517B"/>
    <w:rsid w:val="00B074E4"/>
    <w:rsid w:val="00B07FC4"/>
    <w:rsid w:val="00B10672"/>
    <w:rsid w:val="00B15EFC"/>
    <w:rsid w:val="00B1633A"/>
    <w:rsid w:val="00B20C19"/>
    <w:rsid w:val="00B20F0F"/>
    <w:rsid w:val="00B2332A"/>
    <w:rsid w:val="00B2574A"/>
    <w:rsid w:val="00B26C76"/>
    <w:rsid w:val="00B307E7"/>
    <w:rsid w:val="00B314C8"/>
    <w:rsid w:val="00B321A8"/>
    <w:rsid w:val="00B335AF"/>
    <w:rsid w:val="00B34FF4"/>
    <w:rsid w:val="00B410E3"/>
    <w:rsid w:val="00B42D6C"/>
    <w:rsid w:val="00B43053"/>
    <w:rsid w:val="00B4356D"/>
    <w:rsid w:val="00B43874"/>
    <w:rsid w:val="00B470C4"/>
    <w:rsid w:val="00B50C0A"/>
    <w:rsid w:val="00B50F08"/>
    <w:rsid w:val="00B51289"/>
    <w:rsid w:val="00B5171A"/>
    <w:rsid w:val="00B51C59"/>
    <w:rsid w:val="00B53454"/>
    <w:rsid w:val="00B53576"/>
    <w:rsid w:val="00B569E6"/>
    <w:rsid w:val="00B604B4"/>
    <w:rsid w:val="00B60F08"/>
    <w:rsid w:val="00B62370"/>
    <w:rsid w:val="00B63381"/>
    <w:rsid w:val="00B6343D"/>
    <w:rsid w:val="00B646D7"/>
    <w:rsid w:val="00B64710"/>
    <w:rsid w:val="00B65C30"/>
    <w:rsid w:val="00B65E08"/>
    <w:rsid w:val="00B66B08"/>
    <w:rsid w:val="00B67913"/>
    <w:rsid w:val="00B70E59"/>
    <w:rsid w:val="00B72516"/>
    <w:rsid w:val="00B737D5"/>
    <w:rsid w:val="00B74DE7"/>
    <w:rsid w:val="00B7617F"/>
    <w:rsid w:val="00B76892"/>
    <w:rsid w:val="00B76D01"/>
    <w:rsid w:val="00B8105C"/>
    <w:rsid w:val="00B81316"/>
    <w:rsid w:val="00B83EE1"/>
    <w:rsid w:val="00B83F09"/>
    <w:rsid w:val="00B846F3"/>
    <w:rsid w:val="00B84811"/>
    <w:rsid w:val="00B86048"/>
    <w:rsid w:val="00B86AAD"/>
    <w:rsid w:val="00B90608"/>
    <w:rsid w:val="00B9073E"/>
    <w:rsid w:val="00B914DB"/>
    <w:rsid w:val="00B91BF5"/>
    <w:rsid w:val="00B92265"/>
    <w:rsid w:val="00B92F71"/>
    <w:rsid w:val="00B93F37"/>
    <w:rsid w:val="00B95A21"/>
    <w:rsid w:val="00B95DB4"/>
    <w:rsid w:val="00B96663"/>
    <w:rsid w:val="00B96679"/>
    <w:rsid w:val="00B96E29"/>
    <w:rsid w:val="00BA0587"/>
    <w:rsid w:val="00BA15DC"/>
    <w:rsid w:val="00BA1907"/>
    <w:rsid w:val="00BA32B5"/>
    <w:rsid w:val="00BA59FE"/>
    <w:rsid w:val="00BA5C9D"/>
    <w:rsid w:val="00BA5FEE"/>
    <w:rsid w:val="00BA66A6"/>
    <w:rsid w:val="00BA77BB"/>
    <w:rsid w:val="00BB0600"/>
    <w:rsid w:val="00BB0FD8"/>
    <w:rsid w:val="00BB596B"/>
    <w:rsid w:val="00BB7485"/>
    <w:rsid w:val="00BC010D"/>
    <w:rsid w:val="00BC032F"/>
    <w:rsid w:val="00BC0472"/>
    <w:rsid w:val="00BC31FD"/>
    <w:rsid w:val="00BC3438"/>
    <w:rsid w:val="00BC362E"/>
    <w:rsid w:val="00BC3DCA"/>
    <w:rsid w:val="00BC40F5"/>
    <w:rsid w:val="00BC6391"/>
    <w:rsid w:val="00BC7226"/>
    <w:rsid w:val="00BD1429"/>
    <w:rsid w:val="00BD160A"/>
    <w:rsid w:val="00BD2BCD"/>
    <w:rsid w:val="00BD3D94"/>
    <w:rsid w:val="00BD5DC0"/>
    <w:rsid w:val="00BD6842"/>
    <w:rsid w:val="00BD7F3B"/>
    <w:rsid w:val="00BD7FD1"/>
    <w:rsid w:val="00BE07B1"/>
    <w:rsid w:val="00BE4338"/>
    <w:rsid w:val="00BE5223"/>
    <w:rsid w:val="00BE60C7"/>
    <w:rsid w:val="00BF148C"/>
    <w:rsid w:val="00BF1768"/>
    <w:rsid w:val="00BF18CE"/>
    <w:rsid w:val="00BF3F1A"/>
    <w:rsid w:val="00BF4308"/>
    <w:rsid w:val="00BF43B4"/>
    <w:rsid w:val="00BF5638"/>
    <w:rsid w:val="00BF60FB"/>
    <w:rsid w:val="00BF6593"/>
    <w:rsid w:val="00BF749B"/>
    <w:rsid w:val="00C006F2"/>
    <w:rsid w:val="00C02562"/>
    <w:rsid w:val="00C046D1"/>
    <w:rsid w:val="00C0586A"/>
    <w:rsid w:val="00C10296"/>
    <w:rsid w:val="00C12427"/>
    <w:rsid w:val="00C140CB"/>
    <w:rsid w:val="00C1627D"/>
    <w:rsid w:val="00C17081"/>
    <w:rsid w:val="00C21C94"/>
    <w:rsid w:val="00C22008"/>
    <w:rsid w:val="00C229F3"/>
    <w:rsid w:val="00C23588"/>
    <w:rsid w:val="00C24BFB"/>
    <w:rsid w:val="00C26003"/>
    <w:rsid w:val="00C2629A"/>
    <w:rsid w:val="00C27710"/>
    <w:rsid w:val="00C278CC"/>
    <w:rsid w:val="00C27F79"/>
    <w:rsid w:val="00C31904"/>
    <w:rsid w:val="00C3242A"/>
    <w:rsid w:val="00C3513D"/>
    <w:rsid w:val="00C35595"/>
    <w:rsid w:val="00C377B3"/>
    <w:rsid w:val="00C378E7"/>
    <w:rsid w:val="00C40DE9"/>
    <w:rsid w:val="00C41444"/>
    <w:rsid w:val="00C41D50"/>
    <w:rsid w:val="00C42CB5"/>
    <w:rsid w:val="00C43DC7"/>
    <w:rsid w:val="00C45E21"/>
    <w:rsid w:val="00C46238"/>
    <w:rsid w:val="00C46AE3"/>
    <w:rsid w:val="00C47A99"/>
    <w:rsid w:val="00C5037C"/>
    <w:rsid w:val="00C50A6D"/>
    <w:rsid w:val="00C50B41"/>
    <w:rsid w:val="00C531E5"/>
    <w:rsid w:val="00C53A0B"/>
    <w:rsid w:val="00C571B8"/>
    <w:rsid w:val="00C57F4B"/>
    <w:rsid w:val="00C60AF6"/>
    <w:rsid w:val="00C64345"/>
    <w:rsid w:val="00C65DD7"/>
    <w:rsid w:val="00C67973"/>
    <w:rsid w:val="00C708E5"/>
    <w:rsid w:val="00C70E9A"/>
    <w:rsid w:val="00C7275F"/>
    <w:rsid w:val="00C7719F"/>
    <w:rsid w:val="00C806C0"/>
    <w:rsid w:val="00C80BA1"/>
    <w:rsid w:val="00C8552E"/>
    <w:rsid w:val="00C867C8"/>
    <w:rsid w:val="00C86870"/>
    <w:rsid w:val="00C90D95"/>
    <w:rsid w:val="00C91FCE"/>
    <w:rsid w:val="00C93809"/>
    <w:rsid w:val="00C944FF"/>
    <w:rsid w:val="00C94E14"/>
    <w:rsid w:val="00CA0BBE"/>
    <w:rsid w:val="00CA2D0D"/>
    <w:rsid w:val="00CA44DF"/>
    <w:rsid w:val="00CA56B3"/>
    <w:rsid w:val="00CA6E4E"/>
    <w:rsid w:val="00CA6F08"/>
    <w:rsid w:val="00CA7884"/>
    <w:rsid w:val="00CB16D8"/>
    <w:rsid w:val="00CB220C"/>
    <w:rsid w:val="00CB3802"/>
    <w:rsid w:val="00CB632D"/>
    <w:rsid w:val="00CC10B4"/>
    <w:rsid w:val="00CC145B"/>
    <w:rsid w:val="00CC21D0"/>
    <w:rsid w:val="00CC227A"/>
    <w:rsid w:val="00CC24A8"/>
    <w:rsid w:val="00CC3BB9"/>
    <w:rsid w:val="00CC4B79"/>
    <w:rsid w:val="00CC4DEE"/>
    <w:rsid w:val="00CC64EE"/>
    <w:rsid w:val="00CC7550"/>
    <w:rsid w:val="00CC78F6"/>
    <w:rsid w:val="00CD01BB"/>
    <w:rsid w:val="00CD0E38"/>
    <w:rsid w:val="00CD160D"/>
    <w:rsid w:val="00CD227F"/>
    <w:rsid w:val="00CD2E46"/>
    <w:rsid w:val="00CD4C8F"/>
    <w:rsid w:val="00CD5DF5"/>
    <w:rsid w:val="00CD7286"/>
    <w:rsid w:val="00CD73C1"/>
    <w:rsid w:val="00CD783A"/>
    <w:rsid w:val="00CD7C49"/>
    <w:rsid w:val="00CD7F2D"/>
    <w:rsid w:val="00CE133F"/>
    <w:rsid w:val="00CE149E"/>
    <w:rsid w:val="00CE1A0B"/>
    <w:rsid w:val="00CE4149"/>
    <w:rsid w:val="00CE457A"/>
    <w:rsid w:val="00CE5D56"/>
    <w:rsid w:val="00CE60DC"/>
    <w:rsid w:val="00CE7587"/>
    <w:rsid w:val="00CE7A90"/>
    <w:rsid w:val="00CF135D"/>
    <w:rsid w:val="00CF1A20"/>
    <w:rsid w:val="00CF2AFE"/>
    <w:rsid w:val="00CF3040"/>
    <w:rsid w:val="00CF33BD"/>
    <w:rsid w:val="00CF3944"/>
    <w:rsid w:val="00CF4276"/>
    <w:rsid w:val="00CF53B7"/>
    <w:rsid w:val="00CF5FEA"/>
    <w:rsid w:val="00CF6A09"/>
    <w:rsid w:val="00CF7D0E"/>
    <w:rsid w:val="00D001CD"/>
    <w:rsid w:val="00D00622"/>
    <w:rsid w:val="00D01579"/>
    <w:rsid w:val="00D01737"/>
    <w:rsid w:val="00D018F7"/>
    <w:rsid w:val="00D01F39"/>
    <w:rsid w:val="00D02366"/>
    <w:rsid w:val="00D026A5"/>
    <w:rsid w:val="00D027DD"/>
    <w:rsid w:val="00D03353"/>
    <w:rsid w:val="00D03C31"/>
    <w:rsid w:val="00D0559E"/>
    <w:rsid w:val="00D05DCC"/>
    <w:rsid w:val="00D05FF9"/>
    <w:rsid w:val="00D06A61"/>
    <w:rsid w:val="00D06AED"/>
    <w:rsid w:val="00D07D78"/>
    <w:rsid w:val="00D1257C"/>
    <w:rsid w:val="00D12B3B"/>
    <w:rsid w:val="00D147F5"/>
    <w:rsid w:val="00D14EC4"/>
    <w:rsid w:val="00D154F7"/>
    <w:rsid w:val="00D15FCA"/>
    <w:rsid w:val="00D17054"/>
    <w:rsid w:val="00D17A82"/>
    <w:rsid w:val="00D20802"/>
    <w:rsid w:val="00D23947"/>
    <w:rsid w:val="00D25473"/>
    <w:rsid w:val="00D25B58"/>
    <w:rsid w:val="00D265EA"/>
    <w:rsid w:val="00D272AD"/>
    <w:rsid w:val="00D3025C"/>
    <w:rsid w:val="00D3026C"/>
    <w:rsid w:val="00D308F2"/>
    <w:rsid w:val="00D30D14"/>
    <w:rsid w:val="00D3150F"/>
    <w:rsid w:val="00D31CDD"/>
    <w:rsid w:val="00D347E3"/>
    <w:rsid w:val="00D34C9B"/>
    <w:rsid w:val="00D3612C"/>
    <w:rsid w:val="00D37644"/>
    <w:rsid w:val="00D37AA3"/>
    <w:rsid w:val="00D37F01"/>
    <w:rsid w:val="00D40B57"/>
    <w:rsid w:val="00D447C7"/>
    <w:rsid w:val="00D47693"/>
    <w:rsid w:val="00D50B61"/>
    <w:rsid w:val="00D5141F"/>
    <w:rsid w:val="00D51BDD"/>
    <w:rsid w:val="00D526A2"/>
    <w:rsid w:val="00D5330D"/>
    <w:rsid w:val="00D55914"/>
    <w:rsid w:val="00D562A9"/>
    <w:rsid w:val="00D60A55"/>
    <w:rsid w:val="00D60CA0"/>
    <w:rsid w:val="00D611E5"/>
    <w:rsid w:val="00D612CB"/>
    <w:rsid w:val="00D61443"/>
    <w:rsid w:val="00D61609"/>
    <w:rsid w:val="00D64207"/>
    <w:rsid w:val="00D644C0"/>
    <w:rsid w:val="00D662CD"/>
    <w:rsid w:val="00D70452"/>
    <w:rsid w:val="00D72406"/>
    <w:rsid w:val="00D73548"/>
    <w:rsid w:val="00D73FD6"/>
    <w:rsid w:val="00D76C92"/>
    <w:rsid w:val="00D829DC"/>
    <w:rsid w:val="00D83593"/>
    <w:rsid w:val="00D84EC7"/>
    <w:rsid w:val="00D8511E"/>
    <w:rsid w:val="00D8649D"/>
    <w:rsid w:val="00D875BF"/>
    <w:rsid w:val="00D87A59"/>
    <w:rsid w:val="00D90314"/>
    <w:rsid w:val="00D90335"/>
    <w:rsid w:val="00D90CCC"/>
    <w:rsid w:val="00D9131B"/>
    <w:rsid w:val="00D92E8B"/>
    <w:rsid w:val="00D95C4A"/>
    <w:rsid w:val="00D975B1"/>
    <w:rsid w:val="00DA0282"/>
    <w:rsid w:val="00DA0834"/>
    <w:rsid w:val="00DA2380"/>
    <w:rsid w:val="00DA369D"/>
    <w:rsid w:val="00DA370A"/>
    <w:rsid w:val="00DA630A"/>
    <w:rsid w:val="00DA636B"/>
    <w:rsid w:val="00DA7264"/>
    <w:rsid w:val="00DA72B8"/>
    <w:rsid w:val="00DA77B3"/>
    <w:rsid w:val="00DA7BDE"/>
    <w:rsid w:val="00DB2422"/>
    <w:rsid w:val="00DB27CA"/>
    <w:rsid w:val="00DB34F4"/>
    <w:rsid w:val="00DB4673"/>
    <w:rsid w:val="00DB52A8"/>
    <w:rsid w:val="00DB695C"/>
    <w:rsid w:val="00DB7902"/>
    <w:rsid w:val="00DB7B20"/>
    <w:rsid w:val="00DC009E"/>
    <w:rsid w:val="00DC3723"/>
    <w:rsid w:val="00DC3ECB"/>
    <w:rsid w:val="00DC7097"/>
    <w:rsid w:val="00DD1A4A"/>
    <w:rsid w:val="00DD35AF"/>
    <w:rsid w:val="00DD400F"/>
    <w:rsid w:val="00DD500E"/>
    <w:rsid w:val="00DD57CC"/>
    <w:rsid w:val="00DD59E7"/>
    <w:rsid w:val="00DD7E31"/>
    <w:rsid w:val="00DE0B5E"/>
    <w:rsid w:val="00DE2901"/>
    <w:rsid w:val="00DE3AF1"/>
    <w:rsid w:val="00DE4383"/>
    <w:rsid w:val="00DE45E8"/>
    <w:rsid w:val="00DF0AE6"/>
    <w:rsid w:val="00DF13C8"/>
    <w:rsid w:val="00DF1623"/>
    <w:rsid w:val="00DF368E"/>
    <w:rsid w:val="00DF5982"/>
    <w:rsid w:val="00DF5BD0"/>
    <w:rsid w:val="00DF6543"/>
    <w:rsid w:val="00DF6C40"/>
    <w:rsid w:val="00E00BAB"/>
    <w:rsid w:val="00E00D67"/>
    <w:rsid w:val="00E01E74"/>
    <w:rsid w:val="00E01F93"/>
    <w:rsid w:val="00E0360B"/>
    <w:rsid w:val="00E03995"/>
    <w:rsid w:val="00E03ED8"/>
    <w:rsid w:val="00E0582B"/>
    <w:rsid w:val="00E06C33"/>
    <w:rsid w:val="00E06D44"/>
    <w:rsid w:val="00E075BE"/>
    <w:rsid w:val="00E10062"/>
    <w:rsid w:val="00E12ECB"/>
    <w:rsid w:val="00E145D6"/>
    <w:rsid w:val="00E15B2E"/>
    <w:rsid w:val="00E16846"/>
    <w:rsid w:val="00E2119C"/>
    <w:rsid w:val="00E22607"/>
    <w:rsid w:val="00E23750"/>
    <w:rsid w:val="00E23A2B"/>
    <w:rsid w:val="00E26164"/>
    <w:rsid w:val="00E26E45"/>
    <w:rsid w:val="00E27053"/>
    <w:rsid w:val="00E27130"/>
    <w:rsid w:val="00E27894"/>
    <w:rsid w:val="00E30D69"/>
    <w:rsid w:val="00E31BC8"/>
    <w:rsid w:val="00E327D5"/>
    <w:rsid w:val="00E338D9"/>
    <w:rsid w:val="00E33ED7"/>
    <w:rsid w:val="00E3553D"/>
    <w:rsid w:val="00E35BCB"/>
    <w:rsid w:val="00E3754F"/>
    <w:rsid w:val="00E37AB8"/>
    <w:rsid w:val="00E4046B"/>
    <w:rsid w:val="00E40E13"/>
    <w:rsid w:val="00E43087"/>
    <w:rsid w:val="00E451A4"/>
    <w:rsid w:val="00E455FD"/>
    <w:rsid w:val="00E465D3"/>
    <w:rsid w:val="00E468A5"/>
    <w:rsid w:val="00E47C70"/>
    <w:rsid w:val="00E51827"/>
    <w:rsid w:val="00E51D0A"/>
    <w:rsid w:val="00E52349"/>
    <w:rsid w:val="00E52B0B"/>
    <w:rsid w:val="00E55423"/>
    <w:rsid w:val="00E55A69"/>
    <w:rsid w:val="00E56C36"/>
    <w:rsid w:val="00E56FFB"/>
    <w:rsid w:val="00E57A2B"/>
    <w:rsid w:val="00E602A8"/>
    <w:rsid w:val="00E63D94"/>
    <w:rsid w:val="00E6403F"/>
    <w:rsid w:val="00E6448D"/>
    <w:rsid w:val="00E665B9"/>
    <w:rsid w:val="00E672EC"/>
    <w:rsid w:val="00E70642"/>
    <w:rsid w:val="00E72137"/>
    <w:rsid w:val="00E7414F"/>
    <w:rsid w:val="00E74CE9"/>
    <w:rsid w:val="00E76511"/>
    <w:rsid w:val="00E7658F"/>
    <w:rsid w:val="00E80BF4"/>
    <w:rsid w:val="00E80F9C"/>
    <w:rsid w:val="00E81C30"/>
    <w:rsid w:val="00E82CAD"/>
    <w:rsid w:val="00E84062"/>
    <w:rsid w:val="00E84850"/>
    <w:rsid w:val="00E860F6"/>
    <w:rsid w:val="00E908F7"/>
    <w:rsid w:val="00E90901"/>
    <w:rsid w:val="00E91D72"/>
    <w:rsid w:val="00E92332"/>
    <w:rsid w:val="00E929D5"/>
    <w:rsid w:val="00E9305C"/>
    <w:rsid w:val="00E95393"/>
    <w:rsid w:val="00E95C00"/>
    <w:rsid w:val="00E96987"/>
    <w:rsid w:val="00E97B6B"/>
    <w:rsid w:val="00EA1B98"/>
    <w:rsid w:val="00EA27EC"/>
    <w:rsid w:val="00EA3220"/>
    <w:rsid w:val="00EA3E4E"/>
    <w:rsid w:val="00EA4D3C"/>
    <w:rsid w:val="00EA673D"/>
    <w:rsid w:val="00EA727A"/>
    <w:rsid w:val="00EB00D6"/>
    <w:rsid w:val="00EB1D42"/>
    <w:rsid w:val="00EB38E1"/>
    <w:rsid w:val="00EB5788"/>
    <w:rsid w:val="00EB5E43"/>
    <w:rsid w:val="00EB7BB3"/>
    <w:rsid w:val="00EC0494"/>
    <w:rsid w:val="00EC0DCD"/>
    <w:rsid w:val="00EC17E5"/>
    <w:rsid w:val="00EC1B1A"/>
    <w:rsid w:val="00EC2301"/>
    <w:rsid w:val="00EC2991"/>
    <w:rsid w:val="00EC4DA9"/>
    <w:rsid w:val="00EC6899"/>
    <w:rsid w:val="00EC6B7E"/>
    <w:rsid w:val="00EC6E42"/>
    <w:rsid w:val="00EC7560"/>
    <w:rsid w:val="00EC7840"/>
    <w:rsid w:val="00ED0025"/>
    <w:rsid w:val="00ED0748"/>
    <w:rsid w:val="00ED191E"/>
    <w:rsid w:val="00ED1CC7"/>
    <w:rsid w:val="00ED2438"/>
    <w:rsid w:val="00ED2566"/>
    <w:rsid w:val="00ED3FA4"/>
    <w:rsid w:val="00ED5E1A"/>
    <w:rsid w:val="00ED7F59"/>
    <w:rsid w:val="00EE0F1B"/>
    <w:rsid w:val="00EE1296"/>
    <w:rsid w:val="00EE1D2B"/>
    <w:rsid w:val="00EE2C86"/>
    <w:rsid w:val="00EE2F62"/>
    <w:rsid w:val="00EE4633"/>
    <w:rsid w:val="00EE6A74"/>
    <w:rsid w:val="00EE7F1B"/>
    <w:rsid w:val="00EF11D8"/>
    <w:rsid w:val="00EF3E84"/>
    <w:rsid w:val="00EF50BF"/>
    <w:rsid w:val="00EF5747"/>
    <w:rsid w:val="00EF685F"/>
    <w:rsid w:val="00EF6B8D"/>
    <w:rsid w:val="00EF76E2"/>
    <w:rsid w:val="00F01FBE"/>
    <w:rsid w:val="00F02455"/>
    <w:rsid w:val="00F0309A"/>
    <w:rsid w:val="00F04908"/>
    <w:rsid w:val="00F05A28"/>
    <w:rsid w:val="00F064C9"/>
    <w:rsid w:val="00F06AC7"/>
    <w:rsid w:val="00F06C5D"/>
    <w:rsid w:val="00F10458"/>
    <w:rsid w:val="00F11838"/>
    <w:rsid w:val="00F11C2D"/>
    <w:rsid w:val="00F11F3F"/>
    <w:rsid w:val="00F12966"/>
    <w:rsid w:val="00F12DC6"/>
    <w:rsid w:val="00F136E2"/>
    <w:rsid w:val="00F14D90"/>
    <w:rsid w:val="00F14E6F"/>
    <w:rsid w:val="00F14E7D"/>
    <w:rsid w:val="00F1565F"/>
    <w:rsid w:val="00F178D6"/>
    <w:rsid w:val="00F216BE"/>
    <w:rsid w:val="00F25836"/>
    <w:rsid w:val="00F261C9"/>
    <w:rsid w:val="00F26E00"/>
    <w:rsid w:val="00F310F6"/>
    <w:rsid w:val="00F31717"/>
    <w:rsid w:val="00F317D8"/>
    <w:rsid w:val="00F3324F"/>
    <w:rsid w:val="00F3577F"/>
    <w:rsid w:val="00F36CCC"/>
    <w:rsid w:val="00F36E62"/>
    <w:rsid w:val="00F3756E"/>
    <w:rsid w:val="00F3767C"/>
    <w:rsid w:val="00F37971"/>
    <w:rsid w:val="00F400C0"/>
    <w:rsid w:val="00F449C7"/>
    <w:rsid w:val="00F529EC"/>
    <w:rsid w:val="00F53656"/>
    <w:rsid w:val="00F54115"/>
    <w:rsid w:val="00F543E2"/>
    <w:rsid w:val="00F5672E"/>
    <w:rsid w:val="00F567FB"/>
    <w:rsid w:val="00F56B82"/>
    <w:rsid w:val="00F56D16"/>
    <w:rsid w:val="00F5702D"/>
    <w:rsid w:val="00F60437"/>
    <w:rsid w:val="00F6076E"/>
    <w:rsid w:val="00F60A64"/>
    <w:rsid w:val="00F60D4E"/>
    <w:rsid w:val="00F645A3"/>
    <w:rsid w:val="00F651A0"/>
    <w:rsid w:val="00F665EF"/>
    <w:rsid w:val="00F673B7"/>
    <w:rsid w:val="00F67DB6"/>
    <w:rsid w:val="00F70430"/>
    <w:rsid w:val="00F70C00"/>
    <w:rsid w:val="00F7181A"/>
    <w:rsid w:val="00F721A8"/>
    <w:rsid w:val="00F72C20"/>
    <w:rsid w:val="00F73A11"/>
    <w:rsid w:val="00F73B65"/>
    <w:rsid w:val="00F73C7C"/>
    <w:rsid w:val="00F73CE4"/>
    <w:rsid w:val="00F7493E"/>
    <w:rsid w:val="00F74EA0"/>
    <w:rsid w:val="00F7501A"/>
    <w:rsid w:val="00F757BD"/>
    <w:rsid w:val="00F76C76"/>
    <w:rsid w:val="00F806C2"/>
    <w:rsid w:val="00F80875"/>
    <w:rsid w:val="00F811A6"/>
    <w:rsid w:val="00F81E0E"/>
    <w:rsid w:val="00F824DD"/>
    <w:rsid w:val="00F82D07"/>
    <w:rsid w:val="00F83DA7"/>
    <w:rsid w:val="00F8439A"/>
    <w:rsid w:val="00F850BE"/>
    <w:rsid w:val="00F85887"/>
    <w:rsid w:val="00F90177"/>
    <w:rsid w:val="00F90BE0"/>
    <w:rsid w:val="00F92750"/>
    <w:rsid w:val="00F927D9"/>
    <w:rsid w:val="00F96D5A"/>
    <w:rsid w:val="00FA0B67"/>
    <w:rsid w:val="00FA126A"/>
    <w:rsid w:val="00FA160A"/>
    <w:rsid w:val="00FA2487"/>
    <w:rsid w:val="00FA28D6"/>
    <w:rsid w:val="00FA5013"/>
    <w:rsid w:val="00FA65D3"/>
    <w:rsid w:val="00FB09E7"/>
    <w:rsid w:val="00FB0A2A"/>
    <w:rsid w:val="00FB1625"/>
    <w:rsid w:val="00FB25AF"/>
    <w:rsid w:val="00FB2A0D"/>
    <w:rsid w:val="00FB3AF4"/>
    <w:rsid w:val="00FB5986"/>
    <w:rsid w:val="00FB6427"/>
    <w:rsid w:val="00FB70AB"/>
    <w:rsid w:val="00FC09A5"/>
    <w:rsid w:val="00FC12EF"/>
    <w:rsid w:val="00FC1A0E"/>
    <w:rsid w:val="00FC3926"/>
    <w:rsid w:val="00FC3CA3"/>
    <w:rsid w:val="00FC5377"/>
    <w:rsid w:val="00FC538F"/>
    <w:rsid w:val="00FC716D"/>
    <w:rsid w:val="00FC7967"/>
    <w:rsid w:val="00FC7D3C"/>
    <w:rsid w:val="00FD0FD3"/>
    <w:rsid w:val="00FD1297"/>
    <w:rsid w:val="00FD1A41"/>
    <w:rsid w:val="00FD1EBE"/>
    <w:rsid w:val="00FD1F1F"/>
    <w:rsid w:val="00FD21E7"/>
    <w:rsid w:val="00FE13DA"/>
    <w:rsid w:val="00FE3F0B"/>
    <w:rsid w:val="00FE431D"/>
    <w:rsid w:val="00FE58BE"/>
    <w:rsid w:val="00FE71ED"/>
    <w:rsid w:val="00FE7A7B"/>
    <w:rsid w:val="00FF4640"/>
    <w:rsid w:val="00FF487B"/>
    <w:rsid w:val="00FF5828"/>
    <w:rsid w:val="00FF65E2"/>
    <w:rsid w:val="00FF6FAF"/>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AFE6"/>
  <w15:docId w15:val="{1C2ABA12-706C-4AEF-B4E0-05377B71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5BB9"/>
    <w:pPr>
      <w:keepNext/>
      <w:keepLines/>
      <w:spacing w:before="240" w:after="0"/>
      <w:outlineLvl w:val="0"/>
    </w:pPr>
    <w:rPr>
      <w:rFonts w:ascii="Arial" w:eastAsia="Times New Roman" w:hAnsi="Arial" w:cs="Times New Roman"/>
      <w:b/>
      <w:bCs/>
      <w:color w:val="000000"/>
      <w:sz w:val="32"/>
      <w:szCs w:val="28"/>
      <w:lang w:val="en-GB"/>
    </w:rPr>
  </w:style>
  <w:style w:type="paragraph" w:styleId="Heading2">
    <w:name w:val="heading 2"/>
    <w:basedOn w:val="Normal"/>
    <w:next w:val="Normal"/>
    <w:link w:val="Heading2Char"/>
    <w:uiPriority w:val="9"/>
    <w:unhideWhenUsed/>
    <w:qFormat/>
    <w:rsid w:val="00565BB9"/>
    <w:pPr>
      <w:keepNext/>
      <w:keepLines/>
      <w:spacing w:before="40" w:after="0"/>
      <w:outlineLvl w:val="1"/>
    </w:pPr>
    <w:rPr>
      <w:rFonts w:ascii="Arial" w:eastAsia="Times New Roman" w:hAnsi="Arial" w:cs="Times New Roman"/>
      <w:b/>
      <w:bCs/>
      <w:color w:val="000000"/>
      <w:sz w:val="28"/>
      <w:szCs w:val="26"/>
      <w:lang w:val="en-GB"/>
    </w:rPr>
  </w:style>
  <w:style w:type="paragraph" w:styleId="Heading3">
    <w:name w:val="heading 3"/>
    <w:basedOn w:val="Normal"/>
    <w:next w:val="Normal"/>
    <w:link w:val="Heading3Char"/>
    <w:uiPriority w:val="9"/>
    <w:unhideWhenUsed/>
    <w:qFormat/>
    <w:rsid w:val="00565BB9"/>
    <w:pPr>
      <w:keepNext/>
      <w:keepLines/>
      <w:spacing w:before="40" w:after="0"/>
      <w:outlineLvl w:val="2"/>
    </w:pPr>
    <w:rPr>
      <w:rFonts w:ascii="Arial" w:eastAsia="Times New Roman" w:hAnsi="Arial" w:cs="Times New Roman"/>
      <w:b/>
      <w:bCs/>
      <w:color w:val="000000"/>
      <w:sz w:val="24"/>
      <w:lang w:val="en-GB"/>
    </w:rPr>
  </w:style>
  <w:style w:type="paragraph" w:styleId="Heading4">
    <w:name w:val="heading 4"/>
    <w:basedOn w:val="Normal"/>
    <w:next w:val="Normal"/>
    <w:link w:val="Heading4Char"/>
    <w:uiPriority w:val="9"/>
    <w:unhideWhenUsed/>
    <w:qFormat/>
    <w:rsid w:val="00565BB9"/>
    <w:pPr>
      <w:keepNext/>
      <w:keepLines/>
      <w:spacing w:before="40" w:after="0"/>
      <w:outlineLvl w:val="3"/>
    </w:pPr>
    <w:rPr>
      <w:rFonts w:ascii="Arial" w:eastAsia="Times New Roman" w:hAnsi="Arial" w:cs="Times New Roman"/>
      <w:b/>
      <w:bCs/>
      <w:iCs/>
      <w:color w:val="000000"/>
      <w:lang w:val="en-GB"/>
    </w:rPr>
  </w:style>
  <w:style w:type="paragraph" w:styleId="Heading5">
    <w:name w:val="heading 5"/>
    <w:basedOn w:val="Normal"/>
    <w:next w:val="Normal"/>
    <w:link w:val="Heading5Char"/>
    <w:uiPriority w:val="9"/>
    <w:semiHidden/>
    <w:unhideWhenUsed/>
    <w:qFormat/>
    <w:rsid w:val="00565BB9"/>
    <w:pPr>
      <w:keepNext/>
      <w:keepLines/>
      <w:spacing w:before="40" w:after="0"/>
      <w:outlineLvl w:val="4"/>
    </w:pPr>
    <w:rPr>
      <w:rFonts w:ascii="Arial" w:eastAsia="Times New Roman" w:hAnsi="Arial" w:cs="Times New Roman"/>
      <w:i/>
      <w:color w:val="000000"/>
      <w:lang w:val="en-GB"/>
    </w:rPr>
  </w:style>
  <w:style w:type="paragraph" w:styleId="Heading6">
    <w:name w:val="heading 6"/>
    <w:basedOn w:val="Normal"/>
    <w:next w:val="Normal"/>
    <w:link w:val="Heading6Char"/>
    <w:uiPriority w:val="9"/>
    <w:semiHidden/>
    <w:unhideWhenUsed/>
    <w:qFormat/>
    <w:rsid w:val="00565BB9"/>
    <w:pPr>
      <w:keepNext/>
      <w:keepLines/>
      <w:spacing w:before="40" w:after="0"/>
      <w:outlineLvl w:val="5"/>
    </w:pPr>
    <w:rPr>
      <w:rFonts w:ascii="Arial" w:eastAsia="Times New Roman" w:hAnsi="Arial" w:cs="Times New Roman"/>
      <w:i/>
      <w:iCs/>
      <w:color w:val="002243"/>
      <w:lang w:val="en-GB"/>
    </w:rPr>
  </w:style>
  <w:style w:type="paragraph" w:styleId="Heading7">
    <w:name w:val="heading 7"/>
    <w:basedOn w:val="Normal"/>
    <w:next w:val="Normal"/>
    <w:link w:val="Heading7Char"/>
    <w:uiPriority w:val="9"/>
    <w:semiHidden/>
    <w:unhideWhenUsed/>
    <w:qFormat/>
    <w:rsid w:val="00565BB9"/>
    <w:pPr>
      <w:keepNext/>
      <w:keepLines/>
      <w:spacing w:before="40" w:after="0"/>
      <w:outlineLvl w:val="6"/>
    </w:pPr>
    <w:rPr>
      <w:rFonts w:ascii="Arial" w:eastAsia="Times New Roman" w:hAnsi="Arial" w:cs="Times New Roman"/>
      <w:i/>
      <w:iCs/>
      <w:color w:val="404040"/>
      <w:lang w:val="en-GB"/>
    </w:rPr>
  </w:style>
  <w:style w:type="paragraph" w:styleId="Heading8">
    <w:name w:val="heading 8"/>
    <w:basedOn w:val="Normal"/>
    <w:next w:val="Normal"/>
    <w:link w:val="Heading8Char"/>
    <w:uiPriority w:val="9"/>
    <w:semiHidden/>
    <w:unhideWhenUsed/>
    <w:qFormat/>
    <w:rsid w:val="00565BB9"/>
    <w:pPr>
      <w:keepNext/>
      <w:keepLines/>
      <w:spacing w:before="40" w:after="0"/>
      <w:outlineLvl w:val="7"/>
    </w:pPr>
    <w:rPr>
      <w:rFonts w:ascii="Arial" w:eastAsia="Times New Roman" w:hAnsi="Arial" w:cs="Times New Roman"/>
      <w:color w:val="404040"/>
      <w:sz w:val="20"/>
      <w:szCs w:val="20"/>
      <w:lang w:val="en-GB"/>
    </w:rPr>
  </w:style>
  <w:style w:type="paragraph" w:styleId="Heading9">
    <w:name w:val="heading 9"/>
    <w:basedOn w:val="Normal"/>
    <w:next w:val="Normal"/>
    <w:link w:val="Heading9Char"/>
    <w:uiPriority w:val="9"/>
    <w:semiHidden/>
    <w:unhideWhenUsed/>
    <w:qFormat/>
    <w:rsid w:val="00565BB9"/>
    <w:pPr>
      <w:keepNext/>
      <w:keepLines/>
      <w:spacing w:before="40" w:after="0"/>
      <w:outlineLvl w:val="8"/>
    </w:pPr>
    <w:rPr>
      <w:rFonts w:ascii="Arial" w:eastAsia="Times New Roman" w:hAnsi="Arial"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Points,MAIN CONTENT,List Paragraph12,OBC Bullet,Colorful List - Accent 11,List Paragraph2,Normal numbered"/>
    <w:basedOn w:val="Normal"/>
    <w:link w:val="ListParagraphChar"/>
    <w:uiPriority w:val="34"/>
    <w:qFormat/>
    <w:rsid w:val="00565BB9"/>
    <w:pPr>
      <w:ind w:left="720"/>
      <w:contextualSpacing/>
    </w:pPr>
  </w:style>
  <w:style w:type="paragraph" w:customStyle="1" w:styleId="Heading11">
    <w:name w:val="Heading 11"/>
    <w:basedOn w:val="Normal"/>
    <w:next w:val="Normal"/>
    <w:uiPriority w:val="9"/>
    <w:qFormat/>
    <w:rsid w:val="00565BB9"/>
    <w:pPr>
      <w:keepNext/>
      <w:keepLines/>
      <w:numPr>
        <w:numId w:val="9"/>
      </w:numPr>
      <w:spacing w:before="480" w:after="120"/>
      <w:outlineLvl w:val="0"/>
    </w:pPr>
    <w:rPr>
      <w:rFonts w:ascii="Arial" w:eastAsia="Times New Roman" w:hAnsi="Arial" w:cs="Times New Roman"/>
      <w:b/>
      <w:bCs/>
      <w:color w:val="000000"/>
      <w:sz w:val="32"/>
      <w:szCs w:val="28"/>
      <w:lang w:val="en-GB"/>
    </w:rPr>
  </w:style>
  <w:style w:type="paragraph" w:customStyle="1" w:styleId="Heading21">
    <w:name w:val="Heading 21"/>
    <w:basedOn w:val="Normal"/>
    <w:next w:val="Normal"/>
    <w:uiPriority w:val="9"/>
    <w:unhideWhenUsed/>
    <w:qFormat/>
    <w:rsid w:val="00565BB9"/>
    <w:pPr>
      <w:keepNext/>
      <w:keepLines/>
      <w:numPr>
        <w:ilvl w:val="1"/>
        <w:numId w:val="9"/>
      </w:numPr>
      <w:spacing w:before="240" w:after="120"/>
      <w:outlineLvl w:val="1"/>
    </w:pPr>
    <w:rPr>
      <w:rFonts w:ascii="Arial" w:eastAsia="Times New Roman" w:hAnsi="Arial" w:cs="Times New Roman"/>
      <w:b/>
      <w:bCs/>
      <w:color w:val="000000"/>
      <w:sz w:val="28"/>
      <w:szCs w:val="26"/>
      <w:lang w:val="en-GB"/>
    </w:rPr>
  </w:style>
  <w:style w:type="paragraph" w:customStyle="1" w:styleId="Heading31">
    <w:name w:val="Heading 31"/>
    <w:basedOn w:val="Normal"/>
    <w:next w:val="Normal"/>
    <w:uiPriority w:val="9"/>
    <w:unhideWhenUsed/>
    <w:qFormat/>
    <w:rsid w:val="00565BB9"/>
    <w:pPr>
      <w:keepNext/>
      <w:keepLines/>
      <w:numPr>
        <w:ilvl w:val="2"/>
        <w:numId w:val="9"/>
      </w:numPr>
      <w:spacing w:before="240" w:after="120"/>
      <w:outlineLvl w:val="2"/>
    </w:pPr>
    <w:rPr>
      <w:rFonts w:ascii="Arial" w:eastAsia="Times New Roman" w:hAnsi="Arial" w:cs="Times New Roman"/>
      <w:b/>
      <w:bCs/>
      <w:color w:val="000000"/>
      <w:sz w:val="24"/>
      <w:lang w:val="en-GB"/>
    </w:rPr>
  </w:style>
  <w:style w:type="paragraph" w:customStyle="1" w:styleId="Heading41">
    <w:name w:val="Heading 41"/>
    <w:basedOn w:val="Normal"/>
    <w:next w:val="Normal"/>
    <w:uiPriority w:val="9"/>
    <w:unhideWhenUsed/>
    <w:qFormat/>
    <w:rsid w:val="00565BB9"/>
    <w:pPr>
      <w:keepNext/>
      <w:keepLines/>
      <w:numPr>
        <w:ilvl w:val="3"/>
        <w:numId w:val="9"/>
      </w:numPr>
      <w:spacing w:before="240" w:after="120"/>
      <w:outlineLvl w:val="3"/>
    </w:pPr>
    <w:rPr>
      <w:rFonts w:ascii="Arial" w:eastAsia="Times New Roman" w:hAnsi="Arial" w:cs="Times New Roman"/>
      <w:b/>
      <w:bCs/>
      <w:iCs/>
      <w:color w:val="000000"/>
      <w:lang w:val="en-GB"/>
    </w:rPr>
  </w:style>
  <w:style w:type="paragraph" w:customStyle="1" w:styleId="Heading51">
    <w:name w:val="Heading 51"/>
    <w:basedOn w:val="Normal"/>
    <w:next w:val="Normal"/>
    <w:uiPriority w:val="9"/>
    <w:unhideWhenUsed/>
    <w:qFormat/>
    <w:rsid w:val="00565BB9"/>
    <w:pPr>
      <w:keepNext/>
      <w:keepLines/>
      <w:numPr>
        <w:ilvl w:val="4"/>
        <w:numId w:val="9"/>
      </w:numPr>
      <w:spacing w:before="240" w:after="120"/>
      <w:outlineLvl w:val="4"/>
    </w:pPr>
    <w:rPr>
      <w:rFonts w:ascii="Arial" w:eastAsia="Times New Roman" w:hAnsi="Arial" w:cs="Times New Roman"/>
      <w:i/>
      <w:color w:val="000000"/>
      <w:lang w:val="en-GB"/>
    </w:rPr>
  </w:style>
  <w:style w:type="paragraph" w:customStyle="1" w:styleId="Heading61">
    <w:name w:val="Heading 61"/>
    <w:basedOn w:val="Normal"/>
    <w:next w:val="Normal"/>
    <w:uiPriority w:val="9"/>
    <w:unhideWhenUsed/>
    <w:rsid w:val="00565BB9"/>
    <w:pPr>
      <w:keepNext/>
      <w:keepLines/>
      <w:numPr>
        <w:ilvl w:val="5"/>
        <w:numId w:val="9"/>
      </w:numPr>
      <w:spacing w:before="200" w:after="0"/>
      <w:outlineLvl w:val="5"/>
    </w:pPr>
    <w:rPr>
      <w:rFonts w:ascii="Arial" w:eastAsia="Times New Roman" w:hAnsi="Arial" w:cs="Times New Roman"/>
      <w:i/>
      <w:iCs/>
      <w:color w:val="002243"/>
      <w:lang w:val="en-GB"/>
    </w:rPr>
  </w:style>
  <w:style w:type="paragraph" w:customStyle="1" w:styleId="Heading71">
    <w:name w:val="Heading 71"/>
    <w:basedOn w:val="Normal"/>
    <w:next w:val="Normal"/>
    <w:uiPriority w:val="9"/>
    <w:unhideWhenUsed/>
    <w:rsid w:val="00565BB9"/>
    <w:pPr>
      <w:keepNext/>
      <w:keepLines/>
      <w:numPr>
        <w:ilvl w:val="6"/>
        <w:numId w:val="9"/>
      </w:numPr>
      <w:spacing w:before="200" w:after="0"/>
      <w:outlineLvl w:val="6"/>
    </w:pPr>
    <w:rPr>
      <w:rFonts w:ascii="Arial" w:eastAsia="Times New Roman" w:hAnsi="Arial" w:cs="Times New Roman"/>
      <w:i/>
      <w:iCs/>
      <w:color w:val="404040"/>
      <w:lang w:val="en-GB"/>
    </w:rPr>
  </w:style>
  <w:style w:type="paragraph" w:customStyle="1" w:styleId="Heading81">
    <w:name w:val="Heading 81"/>
    <w:basedOn w:val="Normal"/>
    <w:next w:val="Normal"/>
    <w:uiPriority w:val="9"/>
    <w:unhideWhenUsed/>
    <w:rsid w:val="00565BB9"/>
    <w:pPr>
      <w:keepNext/>
      <w:keepLines/>
      <w:numPr>
        <w:ilvl w:val="7"/>
        <w:numId w:val="9"/>
      </w:numPr>
      <w:spacing w:before="200" w:after="0"/>
      <w:outlineLvl w:val="7"/>
    </w:pPr>
    <w:rPr>
      <w:rFonts w:ascii="Arial" w:eastAsia="Times New Roman" w:hAnsi="Arial" w:cs="Times New Roman"/>
      <w:color w:val="404040"/>
      <w:sz w:val="20"/>
      <w:szCs w:val="20"/>
      <w:lang w:val="en-GB"/>
    </w:rPr>
  </w:style>
  <w:style w:type="paragraph" w:customStyle="1" w:styleId="Heading91">
    <w:name w:val="Heading 91"/>
    <w:basedOn w:val="Normal"/>
    <w:next w:val="Normal"/>
    <w:uiPriority w:val="9"/>
    <w:unhideWhenUsed/>
    <w:rsid w:val="00565BB9"/>
    <w:pPr>
      <w:keepNext/>
      <w:keepLines/>
      <w:numPr>
        <w:ilvl w:val="8"/>
        <w:numId w:val="9"/>
      </w:numPr>
      <w:spacing w:before="200" w:after="0"/>
      <w:outlineLvl w:val="8"/>
    </w:pPr>
    <w:rPr>
      <w:rFonts w:ascii="Arial" w:eastAsia="Times New Roman" w:hAnsi="Arial" w:cs="Times New Roman"/>
      <w:i/>
      <w:iCs/>
      <w:color w:val="404040"/>
      <w:sz w:val="20"/>
      <w:szCs w:val="20"/>
      <w:lang w:val="en-GB"/>
    </w:rPr>
  </w:style>
  <w:style w:type="numbering" w:customStyle="1" w:styleId="NoList1">
    <w:name w:val="No List1"/>
    <w:next w:val="NoList"/>
    <w:uiPriority w:val="99"/>
    <w:semiHidden/>
    <w:unhideWhenUsed/>
    <w:rsid w:val="00565BB9"/>
  </w:style>
  <w:style w:type="character" w:customStyle="1" w:styleId="Heading1Char">
    <w:name w:val="Heading 1 Char"/>
    <w:basedOn w:val="DefaultParagraphFont"/>
    <w:link w:val="Heading1"/>
    <w:uiPriority w:val="9"/>
    <w:rsid w:val="00565BB9"/>
    <w:rPr>
      <w:rFonts w:ascii="Arial" w:eastAsia="Times New Roman" w:hAnsi="Arial" w:cs="Times New Roman"/>
      <w:b/>
      <w:bCs/>
      <w:color w:val="000000"/>
      <w:sz w:val="32"/>
      <w:szCs w:val="28"/>
      <w:lang w:val="en-GB"/>
    </w:rPr>
  </w:style>
  <w:style w:type="character" w:customStyle="1" w:styleId="Heading2Char">
    <w:name w:val="Heading 2 Char"/>
    <w:basedOn w:val="DefaultParagraphFont"/>
    <w:link w:val="Heading2"/>
    <w:uiPriority w:val="9"/>
    <w:rsid w:val="00565BB9"/>
    <w:rPr>
      <w:rFonts w:ascii="Arial" w:eastAsia="Times New Roman" w:hAnsi="Arial" w:cs="Times New Roman"/>
      <w:b/>
      <w:bCs/>
      <w:color w:val="000000"/>
      <w:sz w:val="28"/>
      <w:szCs w:val="26"/>
      <w:lang w:val="en-GB"/>
    </w:rPr>
  </w:style>
  <w:style w:type="character" w:customStyle="1" w:styleId="Heading3Char">
    <w:name w:val="Heading 3 Char"/>
    <w:basedOn w:val="DefaultParagraphFont"/>
    <w:link w:val="Heading3"/>
    <w:uiPriority w:val="9"/>
    <w:rsid w:val="00565BB9"/>
    <w:rPr>
      <w:rFonts w:ascii="Arial" w:eastAsia="Times New Roman" w:hAnsi="Arial" w:cs="Times New Roman"/>
      <w:b/>
      <w:bCs/>
      <w:color w:val="000000"/>
      <w:sz w:val="24"/>
      <w:lang w:val="en-GB"/>
    </w:rPr>
  </w:style>
  <w:style w:type="character" w:customStyle="1" w:styleId="Heading4Char">
    <w:name w:val="Heading 4 Char"/>
    <w:basedOn w:val="DefaultParagraphFont"/>
    <w:link w:val="Heading4"/>
    <w:uiPriority w:val="9"/>
    <w:rsid w:val="00565BB9"/>
    <w:rPr>
      <w:rFonts w:ascii="Arial" w:eastAsia="Times New Roman" w:hAnsi="Arial" w:cs="Times New Roman"/>
      <w:b/>
      <w:bCs/>
      <w:iCs/>
      <w:color w:val="000000"/>
      <w:lang w:val="en-GB"/>
    </w:rPr>
  </w:style>
  <w:style w:type="character" w:customStyle="1" w:styleId="Heading5Char">
    <w:name w:val="Heading 5 Char"/>
    <w:basedOn w:val="DefaultParagraphFont"/>
    <w:link w:val="Heading5"/>
    <w:uiPriority w:val="9"/>
    <w:rsid w:val="00565BB9"/>
    <w:rPr>
      <w:rFonts w:ascii="Arial" w:eastAsia="Times New Roman" w:hAnsi="Arial" w:cs="Times New Roman"/>
      <w:i/>
      <w:color w:val="000000"/>
      <w:lang w:val="en-GB"/>
    </w:rPr>
  </w:style>
  <w:style w:type="character" w:customStyle="1" w:styleId="Heading7Char">
    <w:name w:val="Heading 7 Char"/>
    <w:basedOn w:val="DefaultParagraphFont"/>
    <w:link w:val="Heading7"/>
    <w:uiPriority w:val="9"/>
    <w:rsid w:val="00565BB9"/>
    <w:rPr>
      <w:rFonts w:ascii="Arial" w:eastAsia="Times New Roman" w:hAnsi="Arial" w:cs="Times New Roman"/>
      <w:i/>
      <w:iCs/>
      <w:color w:val="404040"/>
      <w:lang w:val="en-GB"/>
    </w:rPr>
  </w:style>
  <w:style w:type="character" w:customStyle="1" w:styleId="Heading8Char">
    <w:name w:val="Heading 8 Char"/>
    <w:basedOn w:val="DefaultParagraphFont"/>
    <w:link w:val="Heading8"/>
    <w:uiPriority w:val="9"/>
    <w:rsid w:val="00565BB9"/>
    <w:rPr>
      <w:rFonts w:ascii="Arial" w:eastAsia="Times New Roman" w:hAnsi="Arial" w:cs="Times New Roman"/>
      <w:color w:val="404040"/>
      <w:sz w:val="20"/>
      <w:szCs w:val="20"/>
      <w:lang w:val="en-GB"/>
    </w:rPr>
  </w:style>
  <w:style w:type="character" w:customStyle="1" w:styleId="Heading9Char">
    <w:name w:val="Heading 9 Char"/>
    <w:basedOn w:val="DefaultParagraphFont"/>
    <w:link w:val="Heading9"/>
    <w:uiPriority w:val="9"/>
    <w:rsid w:val="00565BB9"/>
    <w:rPr>
      <w:rFonts w:ascii="Arial" w:eastAsia="Times New Roman" w:hAnsi="Arial" w:cs="Times New Roman"/>
      <w:i/>
      <w:iCs/>
      <w:color w:val="404040"/>
      <w:sz w:val="20"/>
      <w:szCs w:val="20"/>
      <w:lang w:val="en-GB"/>
    </w:rPr>
  </w:style>
  <w:style w:type="paragraph" w:styleId="FootnoteText">
    <w:name w:val="footnote text"/>
    <w:basedOn w:val="Normal"/>
    <w:link w:val="FootnoteTextChar"/>
    <w:uiPriority w:val="99"/>
    <w:unhideWhenUsed/>
    <w:qFormat/>
    <w:rsid w:val="00565BB9"/>
    <w:pPr>
      <w:spacing w:after="0"/>
    </w:pPr>
    <w:rPr>
      <w:rFonts w:ascii="Arial" w:hAnsi="Arial"/>
      <w:sz w:val="18"/>
      <w:szCs w:val="20"/>
      <w:lang w:val="en-GB"/>
    </w:rPr>
  </w:style>
  <w:style w:type="character" w:customStyle="1" w:styleId="FootnoteTextChar">
    <w:name w:val="Footnote Text Char"/>
    <w:basedOn w:val="DefaultParagraphFont"/>
    <w:link w:val="FootnoteText"/>
    <w:uiPriority w:val="99"/>
    <w:rsid w:val="00565BB9"/>
    <w:rPr>
      <w:rFonts w:ascii="Arial" w:hAnsi="Arial"/>
      <w:sz w:val="18"/>
      <w:szCs w:val="20"/>
      <w:lang w:val="en-GB"/>
    </w:rPr>
  </w:style>
  <w:style w:type="paragraph" w:styleId="Caption">
    <w:name w:val="caption"/>
    <w:basedOn w:val="Normal"/>
    <w:next w:val="Normal"/>
    <w:uiPriority w:val="35"/>
    <w:unhideWhenUsed/>
    <w:qFormat/>
    <w:rsid w:val="00565BB9"/>
    <w:pPr>
      <w:spacing w:before="200"/>
    </w:pPr>
    <w:rPr>
      <w:rFonts w:ascii="Arial" w:hAnsi="Arial"/>
      <w:b/>
      <w:bCs/>
      <w:szCs w:val="18"/>
      <w:lang w:val="en-GB"/>
    </w:rPr>
  </w:style>
  <w:style w:type="paragraph" w:styleId="NoSpacing">
    <w:name w:val="No Spacing"/>
    <w:uiPriority w:val="1"/>
    <w:qFormat/>
    <w:rsid w:val="00565BB9"/>
    <w:pPr>
      <w:spacing w:after="0" w:line="240" w:lineRule="auto"/>
    </w:pPr>
    <w:rPr>
      <w:lang w:val="de-AT"/>
    </w:rPr>
  </w:style>
  <w:style w:type="table" w:styleId="TableGrid">
    <w:name w:val="Table Grid"/>
    <w:basedOn w:val="TableNormal"/>
    <w:uiPriority w:val="59"/>
    <w:rsid w:val="00565BB9"/>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65BB9"/>
    <w:pPr>
      <w:spacing w:before="120" w:after="0"/>
    </w:pPr>
    <w:rPr>
      <w:rFonts w:cstheme="minorHAnsi"/>
      <w:b/>
      <w:bCs/>
      <w:i/>
      <w:iCs/>
      <w:sz w:val="24"/>
      <w:szCs w:val="24"/>
    </w:rPr>
  </w:style>
  <w:style w:type="paragraph" w:styleId="TOC2">
    <w:name w:val="toc 2"/>
    <w:basedOn w:val="Normal"/>
    <w:next w:val="Normal"/>
    <w:autoRedefine/>
    <w:uiPriority w:val="39"/>
    <w:unhideWhenUsed/>
    <w:rsid w:val="00B74DE7"/>
    <w:pPr>
      <w:tabs>
        <w:tab w:val="left" w:pos="880"/>
        <w:tab w:val="right" w:leader="dot" w:pos="9350"/>
      </w:tabs>
      <w:spacing w:before="120" w:after="0"/>
      <w:ind w:left="220" w:hanging="220"/>
    </w:pPr>
    <w:rPr>
      <w:rFonts w:cstheme="minorHAnsi"/>
      <w:b/>
      <w:bCs/>
    </w:rPr>
  </w:style>
  <w:style w:type="paragraph" w:styleId="TOC3">
    <w:name w:val="toc 3"/>
    <w:basedOn w:val="Normal"/>
    <w:next w:val="Normal"/>
    <w:autoRedefine/>
    <w:uiPriority w:val="39"/>
    <w:unhideWhenUsed/>
    <w:rsid w:val="00565BB9"/>
    <w:pPr>
      <w:spacing w:after="0"/>
      <w:ind w:left="440"/>
    </w:pPr>
    <w:rPr>
      <w:rFonts w:cstheme="minorHAnsi"/>
      <w:sz w:val="20"/>
      <w:szCs w:val="20"/>
    </w:rPr>
  </w:style>
  <w:style w:type="character" w:customStyle="1" w:styleId="Hyperlink1">
    <w:name w:val="Hyperlink1"/>
    <w:basedOn w:val="DefaultParagraphFont"/>
    <w:uiPriority w:val="99"/>
    <w:unhideWhenUsed/>
    <w:rsid w:val="00565BB9"/>
    <w:rPr>
      <w:color w:val="0000FF"/>
      <w:u w:val="single"/>
    </w:rPr>
  </w:style>
  <w:style w:type="paragraph" w:styleId="EndnoteText">
    <w:name w:val="endnote text"/>
    <w:basedOn w:val="Normal"/>
    <w:link w:val="EndnoteTextChar"/>
    <w:uiPriority w:val="99"/>
    <w:unhideWhenUsed/>
    <w:rsid w:val="00565BB9"/>
    <w:pPr>
      <w:spacing w:after="0"/>
    </w:pPr>
    <w:rPr>
      <w:rFonts w:ascii="Arial" w:hAnsi="Arial"/>
      <w:sz w:val="18"/>
      <w:szCs w:val="20"/>
      <w:lang w:val="en-GB"/>
    </w:rPr>
  </w:style>
  <w:style w:type="character" w:customStyle="1" w:styleId="EndnoteTextChar">
    <w:name w:val="Endnote Text Char"/>
    <w:basedOn w:val="DefaultParagraphFont"/>
    <w:link w:val="EndnoteText"/>
    <w:uiPriority w:val="99"/>
    <w:rsid w:val="00565BB9"/>
    <w:rPr>
      <w:rFonts w:ascii="Arial" w:hAnsi="Arial"/>
      <w:sz w:val="18"/>
      <w:szCs w:val="20"/>
      <w:lang w:val="en-GB"/>
    </w:rPr>
  </w:style>
  <w:style w:type="character" w:styleId="EndnoteReference">
    <w:name w:val="endnote reference"/>
    <w:basedOn w:val="DefaultParagraphFont"/>
    <w:uiPriority w:val="99"/>
    <w:semiHidden/>
    <w:unhideWhenUsed/>
    <w:rsid w:val="00565BB9"/>
    <w:rPr>
      <w:vertAlign w:val="superscript"/>
    </w:rPr>
  </w:style>
  <w:style w:type="numbering" w:customStyle="1" w:styleId="RTRNummerierung">
    <w:name w:val="RTR Nummerierung"/>
    <w:uiPriority w:val="99"/>
    <w:rsid w:val="00565BB9"/>
    <w:pPr>
      <w:numPr>
        <w:numId w:val="2"/>
      </w:numPr>
    </w:pPr>
  </w:style>
  <w:style w:type="numbering" w:customStyle="1" w:styleId="RTRListe">
    <w:name w:val="RTR Liste"/>
    <w:uiPriority w:val="99"/>
    <w:rsid w:val="00565BB9"/>
    <w:pPr>
      <w:numPr>
        <w:numId w:val="3"/>
      </w:numPr>
    </w:pPr>
  </w:style>
  <w:style w:type="character" w:customStyle="1" w:styleId="Heading6Char">
    <w:name w:val="Heading 6 Char"/>
    <w:basedOn w:val="DefaultParagraphFont"/>
    <w:link w:val="Heading6"/>
    <w:uiPriority w:val="9"/>
    <w:rsid w:val="00565BB9"/>
    <w:rPr>
      <w:rFonts w:ascii="Arial" w:eastAsia="Times New Roman" w:hAnsi="Arial" w:cs="Times New Roman"/>
      <w:i/>
      <w:iCs/>
      <w:color w:val="002243"/>
      <w:lang w:val="en-GB"/>
    </w:rPr>
  </w:style>
  <w:style w:type="paragraph" w:styleId="TOC4">
    <w:name w:val="toc 4"/>
    <w:basedOn w:val="Normal"/>
    <w:next w:val="Normal"/>
    <w:autoRedefine/>
    <w:uiPriority w:val="39"/>
    <w:unhideWhenUsed/>
    <w:rsid w:val="00565BB9"/>
    <w:pPr>
      <w:spacing w:after="0"/>
      <w:ind w:left="660"/>
    </w:pPr>
    <w:rPr>
      <w:rFonts w:cstheme="minorHAnsi"/>
      <w:sz w:val="20"/>
      <w:szCs w:val="20"/>
    </w:rPr>
  </w:style>
  <w:style w:type="paragraph" w:styleId="TOC5">
    <w:name w:val="toc 5"/>
    <w:basedOn w:val="Normal"/>
    <w:next w:val="Normal"/>
    <w:autoRedefine/>
    <w:uiPriority w:val="39"/>
    <w:unhideWhenUsed/>
    <w:rsid w:val="00565BB9"/>
    <w:pPr>
      <w:spacing w:after="0"/>
      <w:ind w:left="880"/>
    </w:pPr>
    <w:rPr>
      <w:rFonts w:cstheme="minorHAnsi"/>
      <w:sz w:val="20"/>
      <w:szCs w:val="20"/>
    </w:rPr>
  </w:style>
  <w:style w:type="paragraph" w:styleId="TOC6">
    <w:name w:val="toc 6"/>
    <w:basedOn w:val="Normal"/>
    <w:next w:val="Normal"/>
    <w:autoRedefine/>
    <w:uiPriority w:val="39"/>
    <w:unhideWhenUsed/>
    <w:rsid w:val="00565BB9"/>
    <w:pPr>
      <w:spacing w:after="0"/>
      <w:ind w:left="1100"/>
    </w:pPr>
    <w:rPr>
      <w:rFonts w:cstheme="minorHAnsi"/>
      <w:sz w:val="20"/>
      <w:szCs w:val="20"/>
    </w:rPr>
  </w:style>
  <w:style w:type="paragraph" w:styleId="TOC7">
    <w:name w:val="toc 7"/>
    <w:basedOn w:val="Normal"/>
    <w:next w:val="Normal"/>
    <w:autoRedefine/>
    <w:uiPriority w:val="39"/>
    <w:unhideWhenUsed/>
    <w:rsid w:val="00565BB9"/>
    <w:pPr>
      <w:spacing w:after="0"/>
      <w:ind w:left="1320"/>
    </w:pPr>
    <w:rPr>
      <w:rFonts w:cstheme="minorHAnsi"/>
      <w:sz w:val="20"/>
      <w:szCs w:val="20"/>
    </w:rPr>
  </w:style>
  <w:style w:type="paragraph" w:styleId="TOC8">
    <w:name w:val="toc 8"/>
    <w:basedOn w:val="Normal"/>
    <w:next w:val="Normal"/>
    <w:autoRedefine/>
    <w:uiPriority w:val="39"/>
    <w:unhideWhenUsed/>
    <w:rsid w:val="00565BB9"/>
    <w:pPr>
      <w:spacing w:after="0"/>
      <w:ind w:left="1540"/>
    </w:pPr>
    <w:rPr>
      <w:rFonts w:cstheme="minorHAnsi"/>
      <w:sz w:val="20"/>
      <w:szCs w:val="20"/>
    </w:rPr>
  </w:style>
  <w:style w:type="paragraph" w:styleId="TOC9">
    <w:name w:val="toc 9"/>
    <w:basedOn w:val="Normal"/>
    <w:next w:val="Normal"/>
    <w:autoRedefine/>
    <w:uiPriority w:val="39"/>
    <w:unhideWhenUsed/>
    <w:rsid w:val="00565BB9"/>
    <w:pPr>
      <w:spacing w:after="0"/>
      <w:ind w:left="1760"/>
    </w:pPr>
    <w:rPr>
      <w:rFonts w:cstheme="minorHAnsi"/>
      <w:sz w:val="20"/>
      <w:szCs w:val="20"/>
    </w:rPr>
  </w:style>
  <w:style w:type="numbering" w:customStyle="1" w:styleId="RTRAlphaList">
    <w:name w:val="RTR Alpha List"/>
    <w:uiPriority w:val="99"/>
    <w:rsid w:val="00565BB9"/>
    <w:pPr>
      <w:numPr>
        <w:numId w:val="4"/>
      </w:numPr>
    </w:pPr>
  </w:style>
  <w:style w:type="paragraph" w:customStyle="1" w:styleId="RTRNum">
    <w:name w:val="RTR Num"/>
    <w:basedOn w:val="ListParagraph"/>
    <w:link w:val="RTRNumZchn"/>
    <w:qFormat/>
    <w:rsid w:val="00565BB9"/>
    <w:pPr>
      <w:numPr>
        <w:numId w:val="5"/>
      </w:numPr>
    </w:pPr>
  </w:style>
  <w:style w:type="paragraph" w:customStyle="1" w:styleId="RTRNuma">
    <w:name w:val="RTR Num a"/>
    <w:basedOn w:val="ListParagraph"/>
    <w:link w:val="RTRNumaZchn"/>
    <w:qFormat/>
    <w:rsid w:val="00565BB9"/>
    <w:pPr>
      <w:numPr>
        <w:numId w:val="6"/>
      </w:numPr>
    </w:p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OBC Bullet Char"/>
    <w:basedOn w:val="DefaultParagraphFont"/>
    <w:link w:val="ListParagraph"/>
    <w:uiPriority w:val="34"/>
    <w:qFormat/>
    <w:rsid w:val="00565BB9"/>
  </w:style>
  <w:style w:type="character" w:customStyle="1" w:styleId="RTRNumZchn">
    <w:name w:val="RTR Num Zchn"/>
    <w:basedOn w:val="ListParagraphChar"/>
    <w:link w:val="RTRNum"/>
    <w:rsid w:val="00565BB9"/>
  </w:style>
  <w:style w:type="paragraph" w:customStyle="1" w:styleId="RTRAufz">
    <w:name w:val="RTR Aufz"/>
    <w:basedOn w:val="ListParagraph"/>
    <w:link w:val="RTRAufzZchn"/>
    <w:qFormat/>
    <w:rsid w:val="00565BB9"/>
    <w:pPr>
      <w:numPr>
        <w:numId w:val="7"/>
      </w:numPr>
    </w:pPr>
    <w:rPr>
      <w:rFonts w:ascii="Arial" w:hAnsi="Arial"/>
      <w:lang w:val="en-GB"/>
    </w:rPr>
  </w:style>
  <w:style w:type="character" w:customStyle="1" w:styleId="RTRNumaZchn">
    <w:name w:val="RTR Num a Zchn"/>
    <w:basedOn w:val="ListParagraphChar"/>
    <w:link w:val="RTRNuma"/>
    <w:rsid w:val="00565BB9"/>
  </w:style>
  <w:style w:type="paragraph" w:styleId="Header">
    <w:name w:val="header"/>
    <w:basedOn w:val="Normal"/>
    <w:link w:val="HeaderChar"/>
    <w:uiPriority w:val="99"/>
    <w:unhideWhenUsed/>
    <w:rsid w:val="00565BB9"/>
    <w:pPr>
      <w:tabs>
        <w:tab w:val="center" w:pos="4536"/>
        <w:tab w:val="right" w:pos="9072"/>
      </w:tabs>
      <w:spacing w:after="0"/>
    </w:pPr>
    <w:rPr>
      <w:rFonts w:ascii="Arial" w:hAnsi="Arial"/>
      <w:lang w:val="en-GB"/>
    </w:rPr>
  </w:style>
  <w:style w:type="character" w:customStyle="1" w:styleId="HeaderChar">
    <w:name w:val="Header Char"/>
    <w:basedOn w:val="DefaultParagraphFont"/>
    <w:link w:val="Header"/>
    <w:uiPriority w:val="99"/>
    <w:rsid w:val="00565BB9"/>
    <w:rPr>
      <w:rFonts w:ascii="Arial" w:hAnsi="Arial"/>
      <w:lang w:val="en-GB"/>
    </w:rPr>
  </w:style>
  <w:style w:type="character" w:customStyle="1" w:styleId="RTRAufzZchn">
    <w:name w:val="RTR Aufz Zchn"/>
    <w:basedOn w:val="ListParagraphChar"/>
    <w:link w:val="RTRAufz"/>
    <w:rsid w:val="00565BB9"/>
    <w:rPr>
      <w:rFonts w:ascii="Arial" w:hAnsi="Arial"/>
      <w:lang w:val="en-GB"/>
    </w:rPr>
  </w:style>
  <w:style w:type="paragraph" w:styleId="Footer">
    <w:name w:val="footer"/>
    <w:basedOn w:val="Normal"/>
    <w:link w:val="FooterChar"/>
    <w:uiPriority w:val="99"/>
    <w:unhideWhenUsed/>
    <w:rsid w:val="00565BB9"/>
    <w:pPr>
      <w:tabs>
        <w:tab w:val="center" w:pos="4536"/>
        <w:tab w:val="right" w:pos="9072"/>
      </w:tabs>
      <w:spacing w:after="0"/>
    </w:pPr>
    <w:rPr>
      <w:rFonts w:ascii="Arial" w:hAnsi="Arial"/>
      <w:lang w:val="en-GB"/>
    </w:rPr>
  </w:style>
  <w:style w:type="character" w:customStyle="1" w:styleId="FooterChar">
    <w:name w:val="Footer Char"/>
    <w:basedOn w:val="DefaultParagraphFont"/>
    <w:link w:val="Footer"/>
    <w:uiPriority w:val="99"/>
    <w:rsid w:val="00565BB9"/>
    <w:rPr>
      <w:rFonts w:ascii="Arial" w:hAnsi="Arial"/>
      <w:lang w:val="en-GB"/>
    </w:rPr>
  </w:style>
  <w:style w:type="character" w:styleId="PlaceholderText">
    <w:name w:val="Placeholder Text"/>
    <w:basedOn w:val="DefaultParagraphFont"/>
    <w:uiPriority w:val="99"/>
    <w:semiHidden/>
    <w:rsid w:val="00565BB9"/>
    <w:rPr>
      <w:color w:val="808080"/>
    </w:rPr>
  </w:style>
  <w:style w:type="paragraph" w:styleId="BalloonText">
    <w:name w:val="Balloon Text"/>
    <w:basedOn w:val="Normal"/>
    <w:link w:val="BalloonTextChar"/>
    <w:uiPriority w:val="99"/>
    <w:semiHidden/>
    <w:unhideWhenUsed/>
    <w:rsid w:val="00565BB9"/>
    <w:pPr>
      <w:spacing w:after="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65BB9"/>
    <w:rPr>
      <w:rFonts w:ascii="Tahoma" w:hAnsi="Tahoma" w:cs="Tahoma"/>
      <w:sz w:val="16"/>
      <w:szCs w:val="16"/>
      <w:lang w:val="en-GB"/>
    </w:rPr>
  </w:style>
  <w:style w:type="character" w:styleId="FootnoteReference">
    <w:name w:val="footnote reference"/>
    <w:aliases w:val="Ref,de nota al pie,Voetnootmarkering1,Footnote Reference Superscript,Footnote symbol,Times 10 Point,Exposant 3 Point,Appel note de bas de p,PBO Footnote Reference,FR + (Complex) Arial,(Latin) 9 pt,(Complex) 10 pt + (Compl...,Nota"/>
    <w:basedOn w:val="DefaultParagraphFont"/>
    <w:uiPriority w:val="99"/>
    <w:unhideWhenUsed/>
    <w:rsid w:val="00565BB9"/>
    <w:rPr>
      <w:vertAlign w:val="superscript"/>
    </w:rPr>
  </w:style>
  <w:style w:type="paragraph" w:styleId="TableofFigures">
    <w:name w:val="table of figures"/>
    <w:basedOn w:val="Normal"/>
    <w:next w:val="Normal"/>
    <w:uiPriority w:val="99"/>
    <w:unhideWhenUsed/>
    <w:rsid w:val="00565BB9"/>
    <w:pPr>
      <w:spacing w:after="0"/>
    </w:pPr>
    <w:rPr>
      <w:rFonts w:ascii="Arial" w:hAnsi="Arial"/>
      <w:lang w:val="en-GB"/>
    </w:rPr>
  </w:style>
  <w:style w:type="character" w:styleId="CommentReference">
    <w:name w:val="annotation reference"/>
    <w:basedOn w:val="DefaultParagraphFont"/>
    <w:uiPriority w:val="99"/>
    <w:unhideWhenUsed/>
    <w:qFormat/>
    <w:rsid w:val="00565BB9"/>
    <w:rPr>
      <w:sz w:val="16"/>
      <w:szCs w:val="16"/>
    </w:rPr>
  </w:style>
  <w:style w:type="paragraph" w:styleId="CommentText">
    <w:name w:val="annotation text"/>
    <w:basedOn w:val="Normal"/>
    <w:link w:val="CommentTextChar"/>
    <w:uiPriority w:val="99"/>
    <w:unhideWhenUsed/>
    <w:qFormat/>
    <w:rsid w:val="00565BB9"/>
    <w:rPr>
      <w:rFonts w:ascii="Arial" w:hAnsi="Arial"/>
      <w:sz w:val="20"/>
      <w:szCs w:val="20"/>
      <w:lang w:val="en-GB"/>
    </w:rPr>
  </w:style>
  <w:style w:type="character" w:customStyle="1" w:styleId="CommentTextChar">
    <w:name w:val="Comment Text Char"/>
    <w:basedOn w:val="DefaultParagraphFont"/>
    <w:link w:val="CommentText"/>
    <w:uiPriority w:val="99"/>
    <w:qFormat/>
    <w:rsid w:val="00565BB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65BB9"/>
    <w:rPr>
      <w:b/>
      <w:bCs/>
    </w:rPr>
  </w:style>
  <w:style w:type="character" w:customStyle="1" w:styleId="CommentSubjectChar">
    <w:name w:val="Comment Subject Char"/>
    <w:basedOn w:val="CommentTextChar"/>
    <w:link w:val="CommentSubject"/>
    <w:uiPriority w:val="99"/>
    <w:semiHidden/>
    <w:rsid w:val="00565BB9"/>
    <w:rPr>
      <w:rFonts w:ascii="Arial" w:hAnsi="Arial"/>
      <w:b/>
      <w:bCs/>
      <w:sz w:val="20"/>
      <w:szCs w:val="20"/>
      <w:lang w:val="en-GB"/>
    </w:rPr>
  </w:style>
  <w:style w:type="paragraph" w:customStyle="1" w:styleId="Default">
    <w:name w:val="Default"/>
    <w:qFormat/>
    <w:rsid w:val="00565BB9"/>
    <w:pPr>
      <w:autoSpaceDE w:val="0"/>
      <w:autoSpaceDN w:val="0"/>
      <w:adjustRightInd w:val="0"/>
      <w:spacing w:after="0" w:line="240" w:lineRule="auto"/>
    </w:pPr>
    <w:rPr>
      <w:rFonts w:ascii="Symbol" w:eastAsia="Calibri" w:hAnsi="Symbol" w:cs="Symbol"/>
      <w:color w:val="000000"/>
      <w:sz w:val="24"/>
      <w:szCs w:val="24"/>
      <w:lang w:val="en-GB"/>
    </w:rPr>
  </w:style>
  <w:style w:type="paragraph" w:styleId="Revision">
    <w:name w:val="Revision"/>
    <w:hidden/>
    <w:uiPriority w:val="99"/>
    <w:semiHidden/>
    <w:rsid w:val="00565BB9"/>
    <w:pPr>
      <w:spacing w:after="0" w:line="240" w:lineRule="auto"/>
    </w:pPr>
    <w:rPr>
      <w:rFonts w:ascii="Arial" w:hAnsi="Arial"/>
      <w:lang w:val="de-AT"/>
    </w:rPr>
  </w:style>
  <w:style w:type="paragraph" w:styleId="DocumentMap">
    <w:name w:val="Document Map"/>
    <w:basedOn w:val="Normal"/>
    <w:link w:val="DocumentMapChar"/>
    <w:uiPriority w:val="99"/>
    <w:semiHidden/>
    <w:unhideWhenUsed/>
    <w:rsid w:val="00565BB9"/>
    <w:pPr>
      <w:spacing w:after="0"/>
    </w:pPr>
    <w:rPr>
      <w:rFonts w:ascii="Lucida Grande" w:hAnsi="Lucida Grande" w:cs="Lucida Grande"/>
      <w:sz w:val="24"/>
      <w:szCs w:val="24"/>
      <w:lang w:val="en-GB"/>
    </w:rPr>
  </w:style>
  <w:style w:type="character" w:customStyle="1" w:styleId="DocumentMapChar">
    <w:name w:val="Document Map Char"/>
    <w:basedOn w:val="DefaultParagraphFont"/>
    <w:link w:val="DocumentMap"/>
    <w:uiPriority w:val="99"/>
    <w:semiHidden/>
    <w:rsid w:val="00565BB9"/>
    <w:rPr>
      <w:rFonts w:ascii="Lucida Grande" w:hAnsi="Lucida Grande" w:cs="Lucida Grande"/>
      <w:sz w:val="24"/>
      <w:szCs w:val="24"/>
      <w:lang w:val="en-GB"/>
    </w:rPr>
  </w:style>
  <w:style w:type="paragraph" w:styleId="PlainText">
    <w:name w:val="Plain Text"/>
    <w:basedOn w:val="Normal"/>
    <w:link w:val="PlainTextChar"/>
    <w:uiPriority w:val="99"/>
    <w:unhideWhenUsed/>
    <w:rsid w:val="00565BB9"/>
    <w:pPr>
      <w:spacing w:after="0"/>
    </w:pPr>
    <w:rPr>
      <w:rFonts w:ascii="Calibri" w:hAnsi="Calibri"/>
      <w:szCs w:val="21"/>
      <w:lang w:val="de-DE"/>
    </w:rPr>
  </w:style>
  <w:style w:type="character" w:customStyle="1" w:styleId="PlainTextChar">
    <w:name w:val="Plain Text Char"/>
    <w:basedOn w:val="DefaultParagraphFont"/>
    <w:link w:val="PlainText"/>
    <w:uiPriority w:val="99"/>
    <w:rsid w:val="00565BB9"/>
    <w:rPr>
      <w:rFonts w:ascii="Calibri" w:hAnsi="Calibri"/>
      <w:szCs w:val="21"/>
      <w:lang w:val="de-DE"/>
    </w:rPr>
  </w:style>
  <w:style w:type="paragraph" w:customStyle="1" w:styleId="Nextrow">
    <w:name w:val="Nextrow"/>
    <w:link w:val="NextrowChar"/>
    <w:rsid w:val="00565BB9"/>
    <w:pPr>
      <w:spacing w:before="40" w:after="40" w:line="240" w:lineRule="auto"/>
    </w:pPr>
    <w:rPr>
      <w:rFonts w:ascii="Arial" w:eastAsia="Arial" w:hAnsi="Arial" w:cs="Arial"/>
      <w:bCs/>
      <w:sz w:val="17"/>
      <w:szCs w:val="20"/>
      <w:lang w:val="en-GB" w:eastAsia="en-GB"/>
    </w:rPr>
  </w:style>
  <w:style w:type="character" w:customStyle="1" w:styleId="NextrowChar">
    <w:name w:val="Nextrow Char"/>
    <w:basedOn w:val="DefaultParagraphFont"/>
    <w:link w:val="Nextrow"/>
    <w:rsid w:val="00565BB9"/>
    <w:rPr>
      <w:rFonts w:ascii="Arial" w:eastAsia="Arial" w:hAnsi="Arial" w:cs="Arial"/>
      <w:bCs/>
      <w:sz w:val="17"/>
      <w:szCs w:val="20"/>
      <w:lang w:val="en-GB" w:eastAsia="en-GB"/>
    </w:rPr>
  </w:style>
  <w:style w:type="paragraph" w:styleId="ListBullet3">
    <w:name w:val="List Bullet 3"/>
    <w:basedOn w:val="Normal"/>
    <w:rsid w:val="00565BB9"/>
    <w:pPr>
      <w:numPr>
        <w:numId w:val="8"/>
      </w:numPr>
      <w:spacing w:before="40" w:after="40"/>
    </w:pPr>
    <w:rPr>
      <w:rFonts w:ascii="Arial" w:eastAsia="Arial" w:hAnsi="Arial" w:cs="Arial"/>
      <w:sz w:val="17"/>
      <w:szCs w:val="20"/>
      <w:lang w:val="en-GB" w:eastAsia="en-GB"/>
    </w:rPr>
  </w:style>
  <w:style w:type="paragraph" w:customStyle="1" w:styleId="NormalWeb1">
    <w:name w:val="Normal (Web)1"/>
    <w:basedOn w:val="Normal"/>
    <w:next w:val="NormalWeb"/>
    <w:uiPriority w:val="99"/>
    <w:semiHidden/>
    <w:unhideWhenUsed/>
    <w:rsid w:val="00565BB9"/>
    <w:pPr>
      <w:spacing w:before="100" w:beforeAutospacing="1" w:after="100" w:afterAutospacing="1"/>
    </w:pPr>
    <w:rPr>
      <w:rFonts w:ascii="Times New Roman" w:eastAsia="Times New Roman" w:hAnsi="Times New Roman" w:cs="Times New Roman"/>
      <w:sz w:val="24"/>
      <w:szCs w:val="24"/>
      <w:lang w:val="en-GB" w:eastAsia="de-AT"/>
    </w:rPr>
  </w:style>
  <w:style w:type="character" w:customStyle="1" w:styleId="st">
    <w:name w:val="st"/>
    <w:basedOn w:val="DefaultParagraphFont"/>
    <w:rsid w:val="00565BB9"/>
  </w:style>
  <w:style w:type="character" w:styleId="Emphasis">
    <w:name w:val="Emphasis"/>
    <w:basedOn w:val="DefaultParagraphFont"/>
    <w:uiPriority w:val="20"/>
    <w:qFormat/>
    <w:rsid w:val="00565BB9"/>
    <w:rPr>
      <w:i/>
      <w:iCs/>
    </w:rPr>
  </w:style>
  <w:style w:type="paragraph" w:customStyle="1" w:styleId="RegistrationNumber">
    <w:name w:val="RegistrationNumber"/>
    <w:qFormat/>
    <w:rsid w:val="00565BB9"/>
    <w:pPr>
      <w:tabs>
        <w:tab w:val="left" w:pos="5220"/>
        <w:tab w:val="left" w:pos="7140"/>
        <w:tab w:val="left" w:pos="7513"/>
      </w:tabs>
      <w:ind w:left="4513" w:hanging="4513"/>
      <w:jc w:val="right"/>
    </w:pPr>
    <w:rPr>
      <w:rFonts w:ascii="Arial" w:eastAsia="Calibri" w:hAnsi="Arial" w:cs="Times New Roman"/>
      <w:color w:val="21409A"/>
      <w:sz w:val="24"/>
      <w:szCs w:val="24"/>
      <w:lang w:val="en-GB"/>
    </w:rPr>
  </w:style>
  <w:style w:type="paragraph" w:customStyle="1" w:styleId="ListeRomansNumerals">
    <w:name w:val="Liste Romans Numerals"/>
    <w:basedOn w:val="Normal"/>
    <w:autoRedefine/>
    <w:qFormat/>
    <w:rsid w:val="00565BB9"/>
    <w:pPr>
      <w:numPr>
        <w:numId w:val="10"/>
      </w:numPr>
    </w:pPr>
    <w:rPr>
      <w:rFonts w:ascii="Arial" w:eastAsia="Calibri" w:hAnsi="Arial" w:cs="Times New Roman"/>
      <w:lang w:val="en-GB"/>
    </w:rPr>
  </w:style>
  <w:style w:type="character" w:customStyle="1" w:styleId="shorttext">
    <w:name w:val="short_text"/>
    <w:basedOn w:val="DefaultParagraphFont"/>
    <w:rsid w:val="00565BB9"/>
  </w:style>
  <w:style w:type="character" w:customStyle="1" w:styleId="FollowedHyperlink1">
    <w:name w:val="FollowedHyperlink1"/>
    <w:basedOn w:val="DefaultParagraphFont"/>
    <w:uiPriority w:val="99"/>
    <w:semiHidden/>
    <w:unhideWhenUsed/>
    <w:rsid w:val="00565BB9"/>
    <w:rPr>
      <w:color w:val="800080"/>
      <w:u w:val="single"/>
    </w:rPr>
  </w:style>
  <w:style w:type="character" w:customStyle="1" w:styleId="DeltaViewInsertion">
    <w:name w:val="DeltaView Insertion"/>
    <w:uiPriority w:val="99"/>
    <w:rsid w:val="00565BB9"/>
    <w:rPr>
      <w:b/>
      <w:i/>
      <w:color w:val="000000"/>
    </w:rPr>
  </w:style>
  <w:style w:type="paragraph" w:customStyle="1" w:styleId="Normal1">
    <w:name w:val="Normal1"/>
    <w:basedOn w:val="Normal"/>
    <w:rsid w:val="00565B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ormal2">
    <w:name w:val="Normal2"/>
    <w:basedOn w:val="Normal"/>
    <w:rsid w:val="00565B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adecuadrcula1clara-nfasis61">
    <w:name w:val="Tabla de cuadrícula 1 clara - Énfasis 61"/>
    <w:basedOn w:val="TableNormal"/>
    <w:uiPriority w:val="46"/>
    <w:rsid w:val="00565BB9"/>
    <w:pPr>
      <w:spacing w:after="0" w:line="240" w:lineRule="auto"/>
    </w:pPr>
    <w:rPr>
      <w:lang w:val="de-AT"/>
    </w:rPr>
    <w:tblPr>
      <w:tblStyleRowBandSize w:val="1"/>
      <w:tblStyleColBandSize w:val="1"/>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Pr>
    <w:tblStylePr w:type="firstRow">
      <w:rPr>
        <w:b/>
        <w:bCs/>
      </w:rPr>
      <w:tblPr/>
      <w:tcPr>
        <w:tcBorders>
          <w:bottom w:val="single" w:sz="12" w:space="0" w:color="ADADAD"/>
        </w:tcBorders>
      </w:tcPr>
    </w:tblStylePr>
    <w:tblStylePr w:type="lastRow">
      <w:rPr>
        <w:b/>
        <w:bCs/>
      </w:rPr>
      <w:tblPr/>
      <w:tcPr>
        <w:tcBorders>
          <w:top w:val="double" w:sz="2" w:space="0" w:color="ADADAD"/>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565BB9"/>
  </w:style>
  <w:style w:type="character" w:customStyle="1" w:styleId="Heading1Char1">
    <w:name w:val="Heading 1 Char1"/>
    <w:basedOn w:val="DefaultParagraphFont"/>
    <w:uiPriority w:val="9"/>
    <w:rsid w:val="00565BB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565BB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565BB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565BB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565BB9"/>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565BB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565BB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65B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65BB9"/>
    <w:rPr>
      <w:color w:val="0563C1" w:themeColor="hyperlink"/>
      <w:u w:val="single"/>
    </w:rPr>
  </w:style>
  <w:style w:type="character" w:customStyle="1" w:styleId="Heading6Char1">
    <w:name w:val="Heading 6 Char1"/>
    <w:basedOn w:val="DefaultParagraphFont"/>
    <w:uiPriority w:val="9"/>
    <w:semiHidden/>
    <w:rsid w:val="00565BB9"/>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565BB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5BB9"/>
    <w:rPr>
      <w:color w:val="954F72" w:themeColor="followedHyperlink"/>
      <w:u w:val="single"/>
    </w:rPr>
  </w:style>
  <w:style w:type="paragraph" w:styleId="TOCHeading">
    <w:name w:val="TOC Heading"/>
    <w:basedOn w:val="Heading1"/>
    <w:next w:val="Normal"/>
    <w:uiPriority w:val="39"/>
    <w:unhideWhenUsed/>
    <w:qFormat/>
    <w:rsid w:val="000064E6"/>
    <w:pPr>
      <w:outlineLvl w:val="9"/>
    </w:pPr>
    <w:rPr>
      <w:rFonts w:asciiTheme="majorHAnsi" w:eastAsiaTheme="majorEastAsia" w:hAnsiTheme="majorHAnsi" w:cstheme="majorBidi"/>
      <w:b w:val="0"/>
      <w:bCs w:val="0"/>
      <w:color w:val="2E74B5" w:themeColor="accent1" w:themeShade="BF"/>
      <w:szCs w:val="32"/>
      <w:lang w:val="en-US"/>
    </w:rPr>
  </w:style>
  <w:style w:type="character" w:customStyle="1" w:styleId="Mencinsinresolver1">
    <w:name w:val="Mención sin resolver1"/>
    <w:basedOn w:val="DefaultParagraphFont"/>
    <w:uiPriority w:val="99"/>
    <w:semiHidden/>
    <w:unhideWhenUsed/>
    <w:rsid w:val="00B43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674">
      <w:bodyDiv w:val="1"/>
      <w:marLeft w:val="0"/>
      <w:marRight w:val="0"/>
      <w:marTop w:val="0"/>
      <w:marBottom w:val="0"/>
      <w:divBdr>
        <w:top w:val="none" w:sz="0" w:space="0" w:color="auto"/>
        <w:left w:val="none" w:sz="0" w:space="0" w:color="auto"/>
        <w:bottom w:val="none" w:sz="0" w:space="0" w:color="auto"/>
        <w:right w:val="none" w:sz="0" w:space="0" w:color="auto"/>
      </w:divBdr>
    </w:div>
    <w:div w:id="395586582">
      <w:bodyDiv w:val="1"/>
      <w:marLeft w:val="0"/>
      <w:marRight w:val="0"/>
      <w:marTop w:val="0"/>
      <w:marBottom w:val="0"/>
      <w:divBdr>
        <w:top w:val="none" w:sz="0" w:space="0" w:color="auto"/>
        <w:left w:val="none" w:sz="0" w:space="0" w:color="auto"/>
        <w:bottom w:val="none" w:sz="0" w:space="0" w:color="auto"/>
        <w:right w:val="none" w:sz="0" w:space="0" w:color="auto"/>
      </w:divBdr>
    </w:div>
    <w:div w:id="540165330">
      <w:bodyDiv w:val="1"/>
      <w:marLeft w:val="0"/>
      <w:marRight w:val="0"/>
      <w:marTop w:val="0"/>
      <w:marBottom w:val="0"/>
      <w:divBdr>
        <w:top w:val="none" w:sz="0" w:space="0" w:color="auto"/>
        <w:left w:val="none" w:sz="0" w:space="0" w:color="auto"/>
        <w:bottom w:val="none" w:sz="0" w:space="0" w:color="auto"/>
        <w:right w:val="none" w:sz="0" w:space="0" w:color="auto"/>
      </w:divBdr>
    </w:div>
    <w:div w:id="767654547">
      <w:bodyDiv w:val="1"/>
      <w:marLeft w:val="0"/>
      <w:marRight w:val="0"/>
      <w:marTop w:val="0"/>
      <w:marBottom w:val="0"/>
      <w:divBdr>
        <w:top w:val="none" w:sz="0" w:space="0" w:color="auto"/>
        <w:left w:val="none" w:sz="0" w:space="0" w:color="auto"/>
        <w:bottom w:val="none" w:sz="0" w:space="0" w:color="auto"/>
        <w:right w:val="none" w:sz="0" w:space="0" w:color="auto"/>
      </w:divBdr>
    </w:div>
    <w:div w:id="21268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76EECC_Guidelines@berec.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32018R1971&amp;from=EN" TargetMode="External"/><Relationship Id="rId1" Type="http://schemas.openxmlformats.org/officeDocument/2006/relationships/hyperlink" Target="https://eur-lex.europa.eu/legal-content/EN/TXT/PDF/?uri=CELEX:32018L1972&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1" ma:contentTypeDescription="Create a new document." ma:contentTypeScope="" ma:versionID="d2e4e224c89d450749e5506797c4ccfb">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5131e8986aa6ff1a5671946b6fe7e3d9"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5129-72EC-465B-AC5B-85146A024913}">
  <ds:schemaRefs>
    <ds:schemaRef ds:uri="http://schemas.microsoft.com/sharepoint/v3/contenttype/forms"/>
  </ds:schemaRefs>
</ds:datastoreItem>
</file>

<file path=customXml/itemProps2.xml><?xml version="1.0" encoding="utf-8"?>
<ds:datastoreItem xmlns:ds="http://schemas.openxmlformats.org/officeDocument/2006/customXml" ds:itemID="{70BDF96A-18E7-4A1A-B2C2-7804A1A88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CAEBF-BA99-463F-98C1-41395C89D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817391-E7D9-4CB1-9C01-3D7EF93E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12082</Words>
  <Characters>68871</Characters>
  <Application>Microsoft Office Word</Application>
  <DocSecurity>0</DocSecurity>
  <Lines>573</Lines>
  <Paragraphs>161</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BEREC</Company>
  <LinksUpToDate>false</LinksUpToDate>
  <CharactersWithSpaces>80792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BEREC@berec.europa.eu</dc:creator>
  <dcterms:created xsi:type="dcterms:W3CDTF">2020-06-15T10:38:00Z</dcterms:created>
  <dcterms:modified xsi:type="dcterms:W3CDTF">2020-06-15T10:38:00Z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Markham.Sivak@ofcom.org.uk</vt:lpwstr>
  </property>
  <property fmtid="{D5CDD505-2E9C-101B-9397-08002B2CF9AE}" pid="5" name="MSIP_Label_5a50d26f-5c2c-4137-8396-1b24eb24286c_SetDate">
    <vt:lpwstr>2019-09-16T13:46:25.1241398Z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ContentTypeId">
    <vt:lpwstr>0x01010026979934D1F325459C1CD62103CAEAB4</vt:lpwstr>
  </property>
</Properties>
</file>